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9510"/>
      </w:tblGrid>
      <w:tr w:rsidR="0047186A" w:rsidRPr="00A625BF" w:rsidTr="00C87E95">
        <w:trPr>
          <w:trHeight w:val="214"/>
        </w:trPr>
        <w:tc>
          <w:tcPr>
            <w:tcW w:w="8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517602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04658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25pt;height:22.6pt">
                  <v:imagedata r:id="rId8" o:title="fooficina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517602">
            <w:pPr>
              <w:spacing w:before="120"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</w:t>
            </w:r>
            <w:r w:rsidR="0051760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517602" w:rsidRPr="00517602" w:rsidRDefault="00517602" w:rsidP="0087087B">
      <w:pPr>
        <w:pStyle w:val="ListParagraph"/>
        <w:numPr>
          <w:ilvl w:val="0"/>
          <w:numId w:val="7"/>
        </w:numPr>
        <w:spacing w:before="120" w:after="120" w:line="240" w:lineRule="auto"/>
        <w:ind w:left="907" w:right="-187"/>
        <w:rPr>
          <w:rFonts w:ascii="Times New Roman" w:eastAsia="Times New Roman" w:hAnsi="Times New Roman"/>
          <w:sz w:val="24"/>
          <w:szCs w:val="24"/>
          <w:lang w:val="es-ES"/>
        </w:rPr>
      </w:pPr>
      <w:bookmarkStart w:id="0" w:name="_GoBack"/>
      <w:bookmarkEnd w:id="0"/>
      <w:r w:rsidRPr="00517602">
        <w:rPr>
          <w:rFonts w:ascii="Times New Roman" w:eastAsia="Times New Roman" w:hAnsi="Times New Roman"/>
          <w:sz w:val="24"/>
          <w:szCs w:val="24"/>
          <w:lang w:val="es-PR"/>
        </w:rPr>
        <w:t>Ofrece información sobre la</w:t>
      </w:r>
      <w:r w:rsidRPr="00517602">
        <w:rPr>
          <w:rFonts w:ascii="Times New Roman" w:eastAsia="Times New Roman" w:hAnsi="Times New Roman"/>
          <w:sz w:val="24"/>
          <w:szCs w:val="24"/>
          <w:lang w:val="es-ES"/>
        </w:rPr>
        <w:t xml:space="preserve"> Ley Núm. 42 de 28 de ma</w:t>
      </w:r>
      <w:r w:rsidR="00910A6D">
        <w:rPr>
          <w:rFonts w:ascii="Times New Roman" w:eastAsia="Times New Roman" w:hAnsi="Times New Roman"/>
          <w:sz w:val="24"/>
          <w:szCs w:val="24"/>
          <w:lang w:val="es-ES"/>
        </w:rPr>
        <w:t xml:space="preserve">rzo de 2015 (“Ley 42-2015”) la cual </w:t>
      </w:r>
      <w:r w:rsidRPr="00517602">
        <w:rPr>
          <w:rFonts w:ascii="Times New Roman" w:eastAsia="Times New Roman" w:hAnsi="Times New Roman"/>
          <w:sz w:val="24"/>
          <w:szCs w:val="24"/>
          <w:lang w:val="es-ES"/>
        </w:rPr>
        <w:t>establece que toda persona, natural o jurídica, que preste servicios dentro de la jurisdicción de Puerto Rico, para los cuales se requiera una l</w:t>
      </w:r>
      <w:r w:rsidR="0087087B">
        <w:rPr>
          <w:rFonts w:ascii="Times New Roman" w:eastAsia="Times New Roman" w:hAnsi="Times New Roman"/>
          <w:sz w:val="24"/>
          <w:szCs w:val="24"/>
          <w:lang w:val="es-ES"/>
        </w:rPr>
        <w:t>icencia o autorización legal (“Proveedor de S</w:t>
      </w:r>
      <w:r w:rsidRPr="00517602">
        <w:rPr>
          <w:rFonts w:ascii="Times New Roman" w:eastAsia="Times New Roman" w:hAnsi="Times New Roman"/>
          <w:sz w:val="24"/>
          <w:szCs w:val="24"/>
          <w:lang w:val="es-ES"/>
        </w:rPr>
        <w:t xml:space="preserve">ervicios”), provea al menos dos (2) alternativas de pago a sus clientes.  </w:t>
      </w:r>
    </w:p>
    <w:tbl>
      <w:tblPr>
        <w:tblW w:w="1025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9437"/>
      </w:tblGrid>
      <w:tr w:rsidR="009B5543" w:rsidRPr="005D4CDE" w:rsidTr="006133BC">
        <w:trPr>
          <w:trHeight w:val="532"/>
        </w:trPr>
        <w:tc>
          <w:tcPr>
            <w:tcW w:w="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517602">
            <w:pPr>
              <w:pStyle w:val="NormalWeb"/>
              <w:spacing w:before="0" w:beforeAutospacing="0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7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517602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C364E6" w:rsidRPr="008B1777" w:rsidRDefault="00C364E6" w:rsidP="00C364E6">
      <w:pPr>
        <w:pStyle w:val="ListParagraph"/>
        <w:numPr>
          <w:ilvl w:val="0"/>
          <w:numId w:val="5"/>
        </w:numPr>
        <w:spacing w:before="120" w:after="120" w:line="240" w:lineRule="auto"/>
        <w:ind w:left="907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Comerciantes</w:t>
      </w:r>
      <w:r w:rsidRPr="008B1777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6133BC" w:rsidRPr="006133BC" w:rsidRDefault="001B542E" w:rsidP="0087087B">
      <w:pPr>
        <w:pStyle w:val="ListParagraph"/>
        <w:numPr>
          <w:ilvl w:val="0"/>
          <w:numId w:val="5"/>
        </w:numPr>
        <w:spacing w:before="120" w:after="120" w:line="240" w:lineRule="auto"/>
        <w:ind w:left="907"/>
        <w:rPr>
          <w:rFonts w:ascii="Times New Roman" w:hAnsi="Times New Roman"/>
          <w:color w:val="000000"/>
          <w:lang w:val="es-PR"/>
        </w:rPr>
      </w:pPr>
      <w:r w:rsidRPr="008B1777">
        <w:rPr>
          <w:rFonts w:ascii="Times New Roman" w:hAnsi="Times New Roman"/>
          <w:color w:val="000000"/>
          <w:sz w:val="24"/>
          <w:lang w:val="es-PR"/>
        </w:rPr>
        <w:t>Individu</w:t>
      </w:r>
      <w:r w:rsidR="00204FA7" w:rsidRPr="008B1777">
        <w:rPr>
          <w:rFonts w:ascii="Times New Roman" w:hAnsi="Times New Roman"/>
          <w:color w:val="000000"/>
          <w:sz w:val="24"/>
          <w:lang w:val="es-PR"/>
        </w:rPr>
        <w:t>o</w:t>
      </w:r>
      <w:r w:rsidR="00731597">
        <w:rPr>
          <w:rFonts w:ascii="Times New Roman" w:hAnsi="Times New Roman"/>
          <w:color w:val="000000"/>
          <w:sz w:val="24"/>
          <w:lang w:val="es-PR"/>
        </w:rPr>
        <w:t>s</w:t>
      </w:r>
    </w:p>
    <w:tbl>
      <w:tblPr>
        <w:tblW w:w="1025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9443"/>
      </w:tblGrid>
      <w:tr w:rsidR="004A5AAE" w:rsidRPr="00C364E6" w:rsidTr="006133BC">
        <w:trPr>
          <w:trHeight w:val="452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046580" w:rsidP="00517602">
            <w:pPr>
              <w:pStyle w:val="NormalWeb"/>
              <w:spacing w:before="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465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3.45pt;height:20.95pt">
                  <v:imagedata r:id="rId10" o:title="folder"/>
                </v:shape>
              </w:pict>
            </w:r>
          </w:p>
        </w:tc>
        <w:tc>
          <w:tcPr>
            <w:tcW w:w="9443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731597">
            <w:pPr>
              <w:spacing w:before="120"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51760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910A6D" w:rsidRPr="00F12E87" w:rsidRDefault="00910A6D" w:rsidP="0087087B">
      <w:pPr>
        <w:pStyle w:val="ListParagraph"/>
        <w:numPr>
          <w:ilvl w:val="0"/>
          <w:numId w:val="7"/>
        </w:numPr>
        <w:spacing w:before="120" w:after="120" w:line="240" w:lineRule="auto"/>
        <w:ind w:left="907"/>
        <w:rPr>
          <w:rFonts w:ascii="Times New Roman" w:eastAsia="Times New Roman" w:hAnsi="Times New Roman"/>
          <w:sz w:val="24"/>
          <w:szCs w:val="24"/>
          <w:lang w:val="es-ES"/>
        </w:rPr>
      </w:pPr>
      <w:r w:rsidRPr="00F12E87">
        <w:rPr>
          <w:rFonts w:ascii="Times New Roman" w:eastAsia="Times New Roman" w:hAnsi="Times New Roman"/>
          <w:sz w:val="24"/>
          <w:szCs w:val="24"/>
          <w:lang w:val="es-ES"/>
        </w:rPr>
        <w:t>La ley dispone que el proveedor de servicios debe colocar un rótulo visible y legible en la oficina o local donde brinde los servicios, en donde detalle todas las alternativas de pago disponibles.  En el caso de proveedores de servicios que no ofrezcan sus servicios desde una oficina o local, estos serán responsables de informar a sus clientes, de forma verbal o escrita, sobre las disposiciones de esta Ley y sobre las alternativas de pago disponibles.</w:t>
      </w:r>
    </w:p>
    <w:p w:rsidR="00AC6156" w:rsidRPr="0087087B" w:rsidRDefault="00910A6D" w:rsidP="0087087B">
      <w:pPr>
        <w:pStyle w:val="ListParagraph"/>
        <w:numPr>
          <w:ilvl w:val="0"/>
          <w:numId w:val="7"/>
        </w:numPr>
        <w:spacing w:before="120" w:after="120" w:line="240" w:lineRule="auto"/>
        <w:ind w:left="907" w:right="-502"/>
        <w:rPr>
          <w:rFonts w:ascii="Times New Roman" w:eastAsia="Times New Roman" w:hAnsi="Times New Roman"/>
          <w:sz w:val="24"/>
          <w:szCs w:val="24"/>
          <w:lang w:val="es-ES"/>
        </w:rPr>
      </w:pPr>
      <w:r w:rsidRPr="007C42B7">
        <w:rPr>
          <w:rFonts w:ascii="Times New Roman" w:eastAsia="Times New Roman" w:hAnsi="Times New Roman"/>
          <w:sz w:val="24"/>
          <w:szCs w:val="24"/>
          <w:lang w:val="es-ES"/>
        </w:rPr>
        <w:t>El Proveedor de Servicios que incumpla con las disposiciones de la Ley 42-2015 incurrirá en delito menos grave y, de resultar convicto, estará sujeto a una multa no menor de quinientos dólares ($500) ni mayor de tres mil dólares ($3,000) por la primera  infracción, y una multa no menor de cinco mil dólares ($5,000) ni mayor de diez mil dólares ($10,000) por infracciones subsiguientes.</w:t>
      </w:r>
    </w:p>
    <w:tbl>
      <w:tblPr>
        <w:tblW w:w="1017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9377"/>
      </w:tblGrid>
      <w:tr w:rsidR="005D72CC" w:rsidRPr="00C364E6" w:rsidTr="006133BC">
        <w:trPr>
          <w:trHeight w:val="563"/>
        </w:trPr>
        <w:tc>
          <w:tcPr>
            <w:tcW w:w="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6133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7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B84C85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B84C85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184526" w:rsidRDefault="00046580" w:rsidP="00184526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hyperlink r:id="rId12" w:history="1">
        <w:r w:rsidR="00B84C85" w:rsidRPr="00A20CDF">
          <w:rPr>
            <w:rStyle w:val="Hyperlink"/>
            <w:rFonts w:ascii="Times New Roman" w:hAnsi="Times New Roman"/>
            <w:sz w:val="24"/>
            <w:lang w:val="es-PR"/>
          </w:rPr>
          <w:t>Ley 42-</w:t>
        </w:r>
        <w:r w:rsidR="00517602" w:rsidRPr="00A20CDF">
          <w:rPr>
            <w:rStyle w:val="Hyperlink"/>
            <w:rFonts w:ascii="Times New Roman" w:hAnsi="Times New Roman"/>
            <w:sz w:val="24"/>
            <w:lang w:val="es-PR"/>
          </w:rPr>
          <w:t>2015</w:t>
        </w:r>
      </w:hyperlink>
    </w:p>
    <w:p w:rsidR="00AE0C34" w:rsidRPr="007704AB" w:rsidRDefault="00046580" w:rsidP="00184526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184526" w:rsidRPr="007704AB">
          <w:rPr>
            <w:rStyle w:val="Hyperlink"/>
            <w:rFonts w:ascii="Times New Roman" w:hAnsi="Times New Roman"/>
            <w:sz w:val="24"/>
            <w:szCs w:val="24"/>
            <w:lang w:val="es-ES"/>
          </w:rPr>
          <w:t>Reglamento sobre alternativas de pago por servicios licenciados en Puerto Rico conforme a la Ley Núm. 42-2015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9406"/>
      </w:tblGrid>
      <w:tr w:rsidR="003E0674" w:rsidRPr="00C364E6" w:rsidTr="006133BC">
        <w:trPr>
          <w:trHeight w:val="435"/>
          <w:tblHeader/>
        </w:trPr>
        <w:tc>
          <w:tcPr>
            <w:tcW w:w="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046580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46580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65pt;height:23.45pt">
                  <v:imagedata r:id="rId14" o:title="dinero"/>
                </v:shape>
              </w:pict>
            </w:r>
          </w:p>
        </w:tc>
        <w:tc>
          <w:tcPr>
            <w:tcW w:w="940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B84C85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87087B" w:rsidRDefault="0087087B" w:rsidP="0087087B">
      <w:pPr>
        <w:pStyle w:val="ListParagraph"/>
        <w:numPr>
          <w:ilvl w:val="0"/>
          <w:numId w:val="6"/>
        </w:numPr>
        <w:shd w:val="clear" w:color="auto" w:fill="FFFFFF"/>
        <w:tabs>
          <w:tab w:val="left" w:pos="990"/>
        </w:tabs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La ley Núm. 42 dispone que los Proveedores de Servicios le deberán proveer a sus clientes al menos dos de los siguientes métodos de pago:</w:t>
      </w:r>
    </w:p>
    <w:p w:rsidR="0087087B" w:rsidRDefault="0087087B" w:rsidP="0087087B">
      <w:pPr>
        <w:pStyle w:val="ListParagraph"/>
        <w:numPr>
          <w:ilvl w:val="1"/>
          <w:numId w:val="7"/>
        </w:numPr>
        <w:spacing w:after="150" w:line="315" w:lineRule="atLeast"/>
        <w:ind w:right="-180"/>
        <w:rPr>
          <w:rFonts w:ascii="Times New Roman" w:eastAsia="Times New Roman" w:hAnsi="Times New Roman"/>
          <w:sz w:val="24"/>
          <w:szCs w:val="24"/>
          <w:lang w:val="es-ES"/>
        </w:rPr>
      </w:pPr>
      <w:r w:rsidRPr="00517602">
        <w:rPr>
          <w:rFonts w:ascii="Times New Roman" w:eastAsia="Times New Roman" w:hAnsi="Times New Roman"/>
          <w:sz w:val="24"/>
          <w:szCs w:val="24"/>
          <w:lang w:val="es-ES"/>
        </w:rPr>
        <w:t xml:space="preserve">uso </w:t>
      </w:r>
      <w:r>
        <w:rPr>
          <w:rFonts w:ascii="Times New Roman" w:eastAsia="Times New Roman" w:hAnsi="Times New Roman"/>
          <w:sz w:val="24"/>
          <w:szCs w:val="24"/>
          <w:lang w:val="es-ES"/>
        </w:rPr>
        <w:t>de tarjetas de crédito o débito;</w:t>
      </w:r>
    </w:p>
    <w:p w:rsidR="0087087B" w:rsidRDefault="0087087B" w:rsidP="0087087B">
      <w:pPr>
        <w:pStyle w:val="ListParagraph"/>
        <w:numPr>
          <w:ilvl w:val="1"/>
          <w:numId w:val="7"/>
        </w:numPr>
        <w:spacing w:after="150" w:line="315" w:lineRule="atLeast"/>
        <w:ind w:right="-180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>efectivo;</w:t>
      </w:r>
    </w:p>
    <w:p w:rsidR="0087087B" w:rsidRDefault="0087087B" w:rsidP="0087087B">
      <w:pPr>
        <w:pStyle w:val="ListParagraph"/>
        <w:numPr>
          <w:ilvl w:val="1"/>
          <w:numId w:val="7"/>
        </w:numPr>
        <w:spacing w:after="150" w:line="315" w:lineRule="atLeast"/>
        <w:ind w:right="-180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>cheques;</w:t>
      </w:r>
    </w:p>
    <w:p w:rsidR="0087087B" w:rsidRDefault="0087087B" w:rsidP="0087087B">
      <w:pPr>
        <w:pStyle w:val="ListParagraph"/>
        <w:numPr>
          <w:ilvl w:val="1"/>
          <w:numId w:val="7"/>
        </w:numPr>
        <w:spacing w:after="150" w:line="315" w:lineRule="atLeast"/>
        <w:ind w:right="-180"/>
        <w:rPr>
          <w:rFonts w:ascii="Times New Roman" w:eastAsia="Times New Roman" w:hAnsi="Times New Roman"/>
          <w:sz w:val="24"/>
          <w:szCs w:val="24"/>
          <w:lang w:val="es-ES"/>
        </w:rPr>
      </w:pPr>
      <w:r w:rsidRPr="00517602">
        <w:rPr>
          <w:rFonts w:ascii="Times New Roman" w:eastAsia="Times New Roman" w:hAnsi="Times New Roman"/>
          <w:sz w:val="24"/>
          <w:szCs w:val="24"/>
          <w:lang w:val="es-ES"/>
        </w:rPr>
        <w:lastRenderedPageBreak/>
        <w:t>che</w:t>
      </w:r>
      <w:r>
        <w:rPr>
          <w:rFonts w:ascii="Times New Roman" w:eastAsia="Times New Roman" w:hAnsi="Times New Roman"/>
          <w:sz w:val="24"/>
          <w:szCs w:val="24"/>
          <w:lang w:val="es-ES"/>
        </w:rPr>
        <w:t>ques de gerente;</w:t>
      </w:r>
    </w:p>
    <w:p w:rsidR="0087087B" w:rsidRDefault="0087087B" w:rsidP="0087087B">
      <w:pPr>
        <w:pStyle w:val="ListParagraph"/>
        <w:numPr>
          <w:ilvl w:val="1"/>
          <w:numId w:val="7"/>
        </w:numPr>
        <w:spacing w:after="150" w:line="315" w:lineRule="atLeast"/>
        <w:ind w:right="-180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>giros;</w:t>
      </w:r>
    </w:p>
    <w:p w:rsidR="0087087B" w:rsidRDefault="0087087B" w:rsidP="0087087B">
      <w:pPr>
        <w:pStyle w:val="ListParagraph"/>
        <w:numPr>
          <w:ilvl w:val="1"/>
          <w:numId w:val="7"/>
        </w:numPr>
        <w:spacing w:after="150" w:line="315" w:lineRule="atLeast"/>
        <w:ind w:right="-180"/>
        <w:rPr>
          <w:rFonts w:ascii="Times New Roman" w:eastAsia="Times New Roman" w:hAnsi="Times New Roman"/>
          <w:sz w:val="24"/>
          <w:szCs w:val="24"/>
          <w:lang w:val="es-ES"/>
        </w:rPr>
      </w:pPr>
      <w:r w:rsidRPr="00517602">
        <w:rPr>
          <w:rFonts w:ascii="Times New Roman" w:eastAsia="Times New Roman" w:hAnsi="Times New Roman"/>
          <w:sz w:val="24"/>
          <w:szCs w:val="24"/>
          <w:lang w:val="es-ES"/>
        </w:rPr>
        <w:t>transf</w:t>
      </w:r>
      <w:r>
        <w:rPr>
          <w:rFonts w:ascii="Times New Roman" w:eastAsia="Times New Roman" w:hAnsi="Times New Roman"/>
          <w:sz w:val="24"/>
          <w:szCs w:val="24"/>
          <w:lang w:val="es-ES"/>
        </w:rPr>
        <w:t>erencias electrónicas de fondos;</w:t>
      </w:r>
    </w:p>
    <w:p w:rsidR="0087087B" w:rsidRDefault="0087087B" w:rsidP="0087087B">
      <w:pPr>
        <w:pStyle w:val="ListParagraph"/>
        <w:numPr>
          <w:ilvl w:val="1"/>
          <w:numId w:val="7"/>
        </w:numPr>
        <w:spacing w:after="150" w:line="315" w:lineRule="atLeast"/>
        <w:ind w:right="-180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 xml:space="preserve">pagos por internet; y, </w:t>
      </w:r>
    </w:p>
    <w:p w:rsidR="000052D6" w:rsidRPr="0087087B" w:rsidRDefault="0087087B" w:rsidP="0087087B">
      <w:pPr>
        <w:pStyle w:val="ListParagraph"/>
        <w:numPr>
          <w:ilvl w:val="1"/>
          <w:numId w:val="7"/>
        </w:numPr>
        <w:spacing w:after="150" w:line="315" w:lineRule="atLeast"/>
        <w:ind w:right="-180"/>
        <w:rPr>
          <w:rFonts w:ascii="Times New Roman" w:eastAsia="Times New Roman" w:hAnsi="Times New Roman"/>
          <w:sz w:val="24"/>
          <w:szCs w:val="24"/>
          <w:lang w:val="es-ES"/>
        </w:rPr>
      </w:pPr>
      <w:r w:rsidRPr="007C42B7">
        <w:rPr>
          <w:rFonts w:ascii="Times New Roman" w:eastAsia="Times New Roman" w:hAnsi="Times New Roman"/>
          <w:sz w:val="24"/>
          <w:szCs w:val="24"/>
          <w:lang w:val="es-ES"/>
        </w:rPr>
        <w:t>pago directo </w:t>
      </w:r>
      <w:r w:rsidRPr="0087087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9390"/>
      </w:tblGrid>
      <w:tr w:rsidR="00FD084F" w:rsidRPr="00C364E6" w:rsidTr="006133BC">
        <w:trPr>
          <w:trHeight w:val="453"/>
        </w:trPr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04658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4658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65pt;height:26.8pt">
                  <v:imagedata r:id="rId15" o:title="reloj y mapa"/>
                </v:shape>
              </w:pict>
            </w:r>
          </w:p>
        </w:tc>
        <w:tc>
          <w:tcPr>
            <w:tcW w:w="9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B84C85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280855" w:rsidRDefault="00280855" w:rsidP="00E32DA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280855" w:rsidRPr="00B96F57" w:rsidRDefault="00280855" w:rsidP="00E32DA2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E32DA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280855" w:rsidRDefault="00280855" w:rsidP="00E32DA2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280855" w:rsidRPr="00B96F57" w:rsidRDefault="00280855" w:rsidP="00E32DA2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E32DA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280855" w:rsidRDefault="00280855" w:rsidP="00E32DA2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280855" w:rsidRDefault="00280855" w:rsidP="00E32DA2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280855" w:rsidRPr="00B96F57" w:rsidRDefault="00280855" w:rsidP="00E32DA2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85EC6" w:rsidRDefault="00280855" w:rsidP="00E32DA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5F3575">
        <w:trPr>
          <w:trHeight w:val="517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B84C85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C87E95" w:rsidRPr="00013FC9" w:rsidRDefault="00046580" w:rsidP="00E32DA2">
      <w:pPr>
        <w:pStyle w:val="ListParagraph"/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16" w:history="1">
        <w:r w:rsidR="00C87E95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E32DA2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76767" w:rsidRPr="007704AB" w:rsidRDefault="00E3278D" w:rsidP="00E3278D">
      <w:pPr>
        <w:pStyle w:val="NormalWeb"/>
        <w:numPr>
          <w:ilvl w:val="0"/>
          <w:numId w:val="6"/>
        </w:numPr>
        <w:tabs>
          <w:tab w:val="left" w:pos="810"/>
        </w:tabs>
        <w:spacing w:before="120" w:beforeAutospacing="0" w:after="120" w:afterAutospacing="0"/>
        <w:ind w:left="900"/>
        <w:rPr>
          <w:b/>
          <w:lang w:val="es-ES"/>
        </w:rPr>
      </w:pPr>
      <w:r>
        <w:rPr>
          <w:b/>
          <w:lang w:val="es-ES"/>
        </w:rPr>
        <w:t xml:space="preserve">  </w:t>
      </w:r>
      <w:r w:rsidR="00184526" w:rsidRPr="007704AB">
        <w:rPr>
          <w:b/>
          <w:lang w:val="es-ES"/>
        </w:rPr>
        <w:t>Si soy un comerciante dueño de un restaurante o una gasolinera, ¿Me aplica lo establecido en la Ley 42-2015?</w:t>
      </w:r>
      <w:r w:rsidR="00294E57" w:rsidRPr="007704AB">
        <w:rPr>
          <w:b/>
          <w:lang w:val="es-ES"/>
        </w:rPr>
        <w:t xml:space="preserve"> </w:t>
      </w:r>
      <w:r w:rsidR="00294E57" w:rsidRPr="007704AB">
        <w:rPr>
          <w:lang w:val="es-ES"/>
        </w:rPr>
        <w:t xml:space="preserve"> No, la aplicación de la Ley 42 recae sobre servicios licenciados. Aquellos comerciantes cuyo </w:t>
      </w:r>
      <w:r w:rsidR="009666ED" w:rsidRPr="007704AB">
        <w:rPr>
          <w:lang w:val="es-ES"/>
        </w:rPr>
        <w:t>certificado</w:t>
      </w:r>
      <w:r w:rsidR="00294E57" w:rsidRPr="007704AB">
        <w:rPr>
          <w:lang w:val="es-ES"/>
        </w:rPr>
        <w:t xml:space="preserve"> haya sido emitido </w:t>
      </w:r>
      <w:r w:rsidR="009666ED" w:rsidRPr="007704AB">
        <w:rPr>
          <w:lang w:val="es-ES"/>
        </w:rPr>
        <w:t>bajo la</w:t>
      </w:r>
      <w:r w:rsidR="00294E57" w:rsidRPr="007704AB">
        <w:rPr>
          <w:lang w:val="es-ES"/>
        </w:rPr>
        <w:t xml:space="preserve"> codificación (NAICS) como </w:t>
      </w:r>
      <w:r w:rsidR="009666ED" w:rsidRPr="007704AB">
        <w:rPr>
          <w:lang w:val="es-ES"/>
        </w:rPr>
        <w:t xml:space="preserve">no </w:t>
      </w:r>
      <w:r w:rsidR="00294E57" w:rsidRPr="007704AB">
        <w:rPr>
          <w:lang w:val="es-ES"/>
        </w:rPr>
        <w:t>prestador</w:t>
      </w:r>
      <w:r w:rsidR="009666ED" w:rsidRPr="007704AB">
        <w:rPr>
          <w:lang w:val="es-ES"/>
        </w:rPr>
        <w:t>es</w:t>
      </w:r>
      <w:r w:rsidR="00294E57" w:rsidRPr="007704AB">
        <w:rPr>
          <w:lang w:val="es-ES"/>
        </w:rPr>
        <w:t xml:space="preserve"> de un servicio</w:t>
      </w:r>
      <w:r w:rsidR="00432833" w:rsidRPr="007704AB">
        <w:rPr>
          <w:lang w:val="es-ES"/>
        </w:rPr>
        <w:t xml:space="preserve"> no le aplicará la Ley 42.</w:t>
      </w:r>
    </w:p>
    <w:sectPr w:rsidR="00976767" w:rsidRPr="007704AB" w:rsidSect="00FC2EB7">
      <w:headerReference w:type="default" r:id="rId18"/>
      <w:footerReference w:type="default" r:id="rId19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35" w:rsidRDefault="00AB7035" w:rsidP="005501A9">
      <w:pPr>
        <w:spacing w:after="0" w:line="240" w:lineRule="auto"/>
      </w:pPr>
      <w:r>
        <w:separator/>
      </w:r>
    </w:p>
  </w:endnote>
  <w:endnote w:type="continuationSeparator" w:id="0">
    <w:p w:rsidR="00AB7035" w:rsidRDefault="00AB703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864699" w:rsidRPr="00C364E6" w:rsidTr="00937D91">
      <w:tc>
        <w:tcPr>
          <w:tcW w:w="918" w:type="dxa"/>
        </w:tcPr>
        <w:p w:rsidR="00864699" w:rsidRDefault="00864699" w:rsidP="00937D9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6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6580" w:rsidRPr="00FC2EB7">
            <w:rPr>
              <w:rFonts w:ascii="Times New Roman" w:hAnsi="Times New Roman"/>
              <w:sz w:val="24"/>
            </w:rPr>
            <w:fldChar w:fldCharType="begin"/>
          </w:r>
          <w:r w:rsidR="00F2008A" w:rsidRPr="00FC2EB7">
            <w:rPr>
              <w:rFonts w:ascii="Times New Roman" w:hAnsi="Times New Roman"/>
              <w:sz w:val="24"/>
            </w:rPr>
            <w:instrText xml:space="preserve"> PAGE   \* MERGEFORMAT </w:instrText>
          </w:r>
          <w:r w:rsidR="00046580" w:rsidRPr="00FC2EB7">
            <w:rPr>
              <w:rFonts w:ascii="Times New Roman" w:hAnsi="Times New Roman"/>
              <w:sz w:val="24"/>
            </w:rPr>
            <w:fldChar w:fldCharType="separate"/>
          </w:r>
          <w:r w:rsidR="009B7AAB" w:rsidRPr="009B7AAB">
            <w:rPr>
              <w:rFonts w:ascii="Times New Roman" w:hAnsi="Times New Roman"/>
              <w:b/>
              <w:noProof/>
              <w:sz w:val="24"/>
            </w:rPr>
            <w:t>1</w:t>
          </w:r>
          <w:r w:rsidR="00046580" w:rsidRPr="00FC2EB7">
            <w:rPr>
              <w:rFonts w:ascii="Times New Roman" w:hAnsi="Times New Roman"/>
              <w:sz w:val="24"/>
            </w:rPr>
            <w:fldChar w:fldCharType="end"/>
          </w:r>
        </w:p>
      </w:tc>
      <w:tc>
        <w:tcPr>
          <w:tcW w:w="7938" w:type="dxa"/>
        </w:tcPr>
        <w:p w:rsidR="00864699" w:rsidRDefault="00864699" w:rsidP="00937D91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64699" w:rsidRDefault="00864699" w:rsidP="00937D9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864699" w:rsidRDefault="00864699" w:rsidP="00937D9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64699" w:rsidRPr="008F04DB" w:rsidRDefault="00864699" w:rsidP="00FC2EB7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864699" w:rsidRPr="001E6981" w:rsidRDefault="00864699" w:rsidP="00864699">
    <w:pPr>
      <w:rPr>
        <w:rFonts w:ascii="Times New Roman" w:hAnsi="Times New Roman"/>
        <w:lang w:val="es-PR"/>
      </w:rPr>
    </w:pPr>
  </w:p>
  <w:p w:rsidR="002D75F4" w:rsidRPr="00864699" w:rsidRDefault="002D75F4" w:rsidP="00864699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35" w:rsidRDefault="00AB7035" w:rsidP="005501A9">
      <w:pPr>
        <w:spacing w:after="0" w:line="240" w:lineRule="auto"/>
      </w:pPr>
      <w:r>
        <w:separator/>
      </w:r>
    </w:p>
  </w:footnote>
  <w:footnote w:type="continuationSeparator" w:id="0">
    <w:p w:rsidR="00AB7035" w:rsidRDefault="00AB703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87E95" w:rsidRPr="00C364E6" w:rsidTr="00937D91">
      <w:trPr>
        <w:trHeight w:val="288"/>
      </w:trPr>
      <w:tc>
        <w:tcPr>
          <w:tcW w:w="8395" w:type="dxa"/>
        </w:tcPr>
        <w:p w:rsidR="00C87E95" w:rsidRDefault="00C87E95" w:rsidP="00937D9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F14966" w:rsidRDefault="00F14966" w:rsidP="00937D91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Á</w:t>
          </w: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>rea</w:t>
          </w:r>
          <w:r w:rsidR="00C87E95" w:rsidRPr="00301A90">
            <w:rPr>
              <w:rFonts w:ascii="Times New Roman" w:hAnsi="Times New Roman"/>
              <w:sz w:val="28"/>
              <w:szCs w:val="28"/>
              <w:lang w:val="es-PR"/>
            </w:rPr>
            <w:t xml:space="preserve"> de Política Contributiva</w:t>
          </w:r>
        </w:p>
        <w:p w:rsidR="00C87E95" w:rsidRPr="00301A90" w:rsidRDefault="00F14966" w:rsidP="00937D91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  <w:r w:rsidR="00C87E95" w:rsidRPr="00301A90">
            <w:rPr>
              <w:rFonts w:ascii="Times New Roman" w:hAnsi="Times New Roman"/>
              <w:sz w:val="28"/>
              <w:szCs w:val="28"/>
              <w:lang w:val="es-PR"/>
            </w:rPr>
            <w:tab/>
          </w:r>
        </w:p>
        <w:p w:rsidR="00C87E95" w:rsidRPr="004C743D" w:rsidRDefault="00F14966" w:rsidP="00517602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Boletín</w:t>
          </w:r>
          <w:r w:rsidR="00517602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Informativo 15-12:  Proveer al menos dos alternativas de pago a sus clientes</w:t>
          </w:r>
        </w:p>
      </w:tc>
      <w:tc>
        <w:tcPr>
          <w:tcW w:w="1195" w:type="dxa"/>
        </w:tcPr>
        <w:p w:rsidR="00C87E95" w:rsidRPr="00D049E5" w:rsidRDefault="00046580" w:rsidP="00937D9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046580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2" type="#_x0000_t202" style="position:absolute;margin-left:-2.75pt;margin-top:54.65pt;width:84.5pt;height:28.9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C87E95" w:rsidRPr="00446DFA" w:rsidRDefault="00EC1A92" w:rsidP="00C87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DAC-0001</w:t>
                      </w:r>
                    </w:p>
                    <w:p w:rsidR="00C87E95" w:rsidRPr="002608D6" w:rsidRDefault="00C364E6" w:rsidP="00C87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C87E95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2D75F4" w:rsidRPr="00C87E95" w:rsidRDefault="002D75F4" w:rsidP="00C87E95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87F"/>
    <w:multiLevelType w:val="hybridMultilevel"/>
    <w:tmpl w:val="E9C4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140D"/>
    <w:multiLevelType w:val="hybridMultilevel"/>
    <w:tmpl w:val="EA38F89E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0D9B22DA"/>
    <w:multiLevelType w:val="hybridMultilevel"/>
    <w:tmpl w:val="65201428"/>
    <w:lvl w:ilvl="0" w:tplc="A1B6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7CA"/>
    <w:multiLevelType w:val="hybridMultilevel"/>
    <w:tmpl w:val="E556B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45EC"/>
    <w:multiLevelType w:val="hybridMultilevel"/>
    <w:tmpl w:val="4078C1A4"/>
    <w:lvl w:ilvl="0" w:tplc="5B3C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C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2E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8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6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E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2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2B4E"/>
    <w:multiLevelType w:val="hybridMultilevel"/>
    <w:tmpl w:val="ABA44C26"/>
    <w:lvl w:ilvl="0" w:tplc="BB8698D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99263E"/>
    <w:multiLevelType w:val="hybridMultilevel"/>
    <w:tmpl w:val="9A763C5E"/>
    <w:lvl w:ilvl="0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8">
    <w:nsid w:val="1C482A7A"/>
    <w:multiLevelType w:val="multilevel"/>
    <w:tmpl w:val="B2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52459"/>
    <w:multiLevelType w:val="multilevel"/>
    <w:tmpl w:val="6818C5AE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decimal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decimal"/>
      <w:lvlText w:val="%6."/>
      <w:lvlJc w:val="left"/>
      <w:pPr>
        <w:tabs>
          <w:tab w:val="num" w:pos="7020"/>
        </w:tabs>
        <w:ind w:left="7020" w:hanging="36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decimal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decimal"/>
      <w:lvlText w:val="%9."/>
      <w:lvlJc w:val="left"/>
      <w:pPr>
        <w:tabs>
          <w:tab w:val="num" w:pos="9180"/>
        </w:tabs>
        <w:ind w:left="9180" w:hanging="360"/>
      </w:pPr>
    </w:lvl>
  </w:abstractNum>
  <w:abstractNum w:abstractNumId="10">
    <w:nsid w:val="1E945451"/>
    <w:multiLevelType w:val="multilevel"/>
    <w:tmpl w:val="E9C26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80536"/>
    <w:multiLevelType w:val="hybridMultilevel"/>
    <w:tmpl w:val="38324D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757F60"/>
    <w:multiLevelType w:val="hybridMultilevel"/>
    <w:tmpl w:val="D5327CF8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>
    <w:nsid w:val="2B6C7B6F"/>
    <w:multiLevelType w:val="hybridMultilevel"/>
    <w:tmpl w:val="E7EE401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CAF6941"/>
    <w:multiLevelType w:val="hybridMultilevel"/>
    <w:tmpl w:val="651A293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2FF57693"/>
    <w:multiLevelType w:val="hybridMultilevel"/>
    <w:tmpl w:val="8CB8E858"/>
    <w:lvl w:ilvl="0" w:tplc="38EE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6EA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A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C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4F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4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E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2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A61AA0"/>
    <w:multiLevelType w:val="hybridMultilevel"/>
    <w:tmpl w:val="97029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A1A2E"/>
    <w:multiLevelType w:val="hybridMultilevel"/>
    <w:tmpl w:val="923C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C43BF"/>
    <w:multiLevelType w:val="hybridMultilevel"/>
    <w:tmpl w:val="7B98F222"/>
    <w:lvl w:ilvl="0" w:tplc="8FDE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C7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6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6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E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E4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A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4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8DA4EBB"/>
    <w:multiLevelType w:val="hybridMultilevel"/>
    <w:tmpl w:val="FA82176E"/>
    <w:lvl w:ilvl="0" w:tplc="0409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0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20">
    <w:nsid w:val="39511097"/>
    <w:multiLevelType w:val="hybridMultilevel"/>
    <w:tmpl w:val="57F27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2E1974"/>
    <w:multiLevelType w:val="hybridMultilevel"/>
    <w:tmpl w:val="09123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6757"/>
    <w:multiLevelType w:val="hybridMultilevel"/>
    <w:tmpl w:val="B6545A12"/>
    <w:lvl w:ilvl="0" w:tplc="E8B85876">
      <w:start w:val="1"/>
      <w:numFmt w:val="bullet"/>
      <w:lvlText w:val="o"/>
      <w:lvlJc w:val="left"/>
      <w:pPr>
        <w:ind w:left="162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1FC1B68"/>
    <w:multiLevelType w:val="hybridMultilevel"/>
    <w:tmpl w:val="28384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5602A3"/>
    <w:multiLevelType w:val="hybridMultilevel"/>
    <w:tmpl w:val="B0AEA628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5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0383870"/>
    <w:multiLevelType w:val="hybridMultilevel"/>
    <w:tmpl w:val="F01AD3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A53E3"/>
    <w:multiLevelType w:val="hybridMultilevel"/>
    <w:tmpl w:val="FDA671FE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9">
    <w:nsid w:val="5C323CCE"/>
    <w:multiLevelType w:val="hybridMultilevel"/>
    <w:tmpl w:val="CCBE3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C23C5"/>
    <w:multiLevelType w:val="hybridMultilevel"/>
    <w:tmpl w:val="E960A0D8"/>
    <w:lvl w:ilvl="0" w:tplc="03B6B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6776E">
      <w:start w:val="1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2CA32">
      <w:start w:val="11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A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E1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28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65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C0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0E33A5F"/>
    <w:multiLevelType w:val="hybridMultilevel"/>
    <w:tmpl w:val="166ED88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>
    <w:nsid w:val="653C6C53"/>
    <w:multiLevelType w:val="hybridMultilevel"/>
    <w:tmpl w:val="5BECE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50980"/>
    <w:multiLevelType w:val="hybridMultilevel"/>
    <w:tmpl w:val="28604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867893"/>
    <w:multiLevelType w:val="hybridMultilevel"/>
    <w:tmpl w:val="FE803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C02BB"/>
    <w:multiLevelType w:val="multilevel"/>
    <w:tmpl w:val="C8EC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85428"/>
    <w:multiLevelType w:val="hybridMultilevel"/>
    <w:tmpl w:val="6E8AFBF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76F912AD"/>
    <w:multiLevelType w:val="hybridMultilevel"/>
    <w:tmpl w:val="438A50C6"/>
    <w:lvl w:ilvl="0" w:tplc="37CAA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683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DC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0AA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8E1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439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646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236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678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D7E1567"/>
    <w:multiLevelType w:val="multilevel"/>
    <w:tmpl w:val="7CCE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3B7C99"/>
    <w:multiLevelType w:val="hybridMultilevel"/>
    <w:tmpl w:val="9F4CD1E6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2"/>
  </w:num>
  <w:num w:numId="5">
    <w:abstractNumId w:val="30"/>
  </w:num>
  <w:num w:numId="6">
    <w:abstractNumId w:val="0"/>
  </w:num>
  <w:num w:numId="7">
    <w:abstractNumId w:val="26"/>
  </w:num>
  <w:num w:numId="8">
    <w:abstractNumId w:val="33"/>
  </w:num>
  <w:num w:numId="9">
    <w:abstractNumId w:val="29"/>
  </w:num>
  <w:num w:numId="10">
    <w:abstractNumId w:val="40"/>
  </w:num>
  <w:num w:numId="11">
    <w:abstractNumId w:val="15"/>
  </w:num>
  <w:num w:numId="12">
    <w:abstractNumId w:val="4"/>
  </w:num>
  <w:num w:numId="13">
    <w:abstractNumId w:val="1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4"/>
  </w:num>
  <w:num w:numId="17">
    <w:abstractNumId w:val="34"/>
  </w:num>
  <w:num w:numId="18">
    <w:abstractNumId w:val="7"/>
  </w:num>
  <w:num w:numId="19">
    <w:abstractNumId w:val="23"/>
  </w:num>
  <w:num w:numId="20">
    <w:abstractNumId w:val="12"/>
  </w:num>
  <w:num w:numId="21">
    <w:abstractNumId w:val="35"/>
  </w:num>
  <w:num w:numId="22">
    <w:abstractNumId w:val="16"/>
  </w:num>
  <w:num w:numId="23">
    <w:abstractNumId w:val="17"/>
  </w:num>
  <w:num w:numId="24">
    <w:abstractNumId w:val="1"/>
  </w:num>
  <w:num w:numId="25">
    <w:abstractNumId w:val="32"/>
  </w:num>
  <w:num w:numId="26">
    <w:abstractNumId w:val="14"/>
  </w:num>
  <w:num w:numId="27">
    <w:abstractNumId w:val="37"/>
  </w:num>
  <w:num w:numId="28">
    <w:abstractNumId w:val="38"/>
  </w:num>
  <w:num w:numId="29">
    <w:abstractNumId w:val="31"/>
  </w:num>
  <w:num w:numId="30">
    <w:abstractNumId w:val="11"/>
  </w:num>
  <w:num w:numId="31">
    <w:abstractNumId w:val="36"/>
  </w:num>
  <w:num w:numId="32">
    <w:abstractNumId w:val="8"/>
  </w:num>
  <w:num w:numId="33">
    <w:abstractNumId w:val="19"/>
  </w:num>
  <w:num w:numId="34">
    <w:abstractNumId w:val="10"/>
  </w:num>
  <w:num w:numId="35">
    <w:abstractNumId w:val="3"/>
  </w:num>
  <w:num w:numId="36">
    <w:abstractNumId w:val="13"/>
  </w:num>
  <w:num w:numId="37">
    <w:abstractNumId w:val="22"/>
  </w:num>
  <w:num w:numId="38">
    <w:abstractNumId w:val="20"/>
  </w:num>
  <w:num w:numId="39">
    <w:abstractNumId w:val="5"/>
  </w:num>
  <w:num w:numId="40">
    <w:abstractNumId w:val="39"/>
  </w:num>
  <w:num w:numId="41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4">
      <o:colormenu v:ext="edit" fillcolor="none" strokecolor="none [1951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4ED0"/>
    <w:rsid w:val="000052D6"/>
    <w:rsid w:val="00005355"/>
    <w:rsid w:val="000067FC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46580"/>
    <w:rsid w:val="000517CD"/>
    <w:rsid w:val="000520DB"/>
    <w:rsid w:val="0005534A"/>
    <w:rsid w:val="000553F9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7CB3"/>
    <w:rsid w:val="0009017E"/>
    <w:rsid w:val="00091C87"/>
    <w:rsid w:val="000931BC"/>
    <w:rsid w:val="000940BF"/>
    <w:rsid w:val="00095162"/>
    <w:rsid w:val="0009685B"/>
    <w:rsid w:val="000A1207"/>
    <w:rsid w:val="000A19E1"/>
    <w:rsid w:val="000A5968"/>
    <w:rsid w:val="000A6877"/>
    <w:rsid w:val="000B2831"/>
    <w:rsid w:val="000B4D9B"/>
    <w:rsid w:val="000B69D3"/>
    <w:rsid w:val="000C26F9"/>
    <w:rsid w:val="000C5283"/>
    <w:rsid w:val="000D1646"/>
    <w:rsid w:val="000D60F9"/>
    <w:rsid w:val="000E0503"/>
    <w:rsid w:val="000E07E2"/>
    <w:rsid w:val="000E4017"/>
    <w:rsid w:val="000E5F82"/>
    <w:rsid w:val="000F2739"/>
    <w:rsid w:val="000F40B6"/>
    <w:rsid w:val="000F4705"/>
    <w:rsid w:val="000F7989"/>
    <w:rsid w:val="00101F32"/>
    <w:rsid w:val="00105EDC"/>
    <w:rsid w:val="0011279C"/>
    <w:rsid w:val="00112EDF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67033"/>
    <w:rsid w:val="00173985"/>
    <w:rsid w:val="00174283"/>
    <w:rsid w:val="0017557C"/>
    <w:rsid w:val="00175C1F"/>
    <w:rsid w:val="00181A79"/>
    <w:rsid w:val="00182153"/>
    <w:rsid w:val="00184526"/>
    <w:rsid w:val="00185F44"/>
    <w:rsid w:val="001860B9"/>
    <w:rsid w:val="00191D71"/>
    <w:rsid w:val="00194922"/>
    <w:rsid w:val="001A0C2B"/>
    <w:rsid w:val="001A49AE"/>
    <w:rsid w:val="001B0BD6"/>
    <w:rsid w:val="001B4194"/>
    <w:rsid w:val="001B542E"/>
    <w:rsid w:val="001B5E3B"/>
    <w:rsid w:val="001B6C87"/>
    <w:rsid w:val="001B70DB"/>
    <w:rsid w:val="001B74B7"/>
    <w:rsid w:val="001C147E"/>
    <w:rsid w:val="001C2D5F"/>
    <w:rsid w:val="001C4B1B"/>
    <w:rsid w:val="001C7A01"/>
    <w:rsid w:val="001D12CF"/>
    <w:rsid w:val="001D44CE"/>
    <w:rsid w:val="001D4B35"/>
    <w:rsid w:val="001D586F"/>
    <w:rsid w:val="001D666F"/>
    <w:rsid w:val="001E1870"/>
    <w:rsid w:val="001E5F9F"/>
    <w:rsid w:val="001E770C"/>
    <w:rsid w:val="001E7BC3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160D3"/>
    <w:rsid w:val="002178F4"/>
    <w:rsid w:val="002211A0"/>
    <w:rsid w:val="002240FF"/>
    <w:rsid w:val="002241F3"/>
    <w:rsid w:val="00224796"/>
    <w:rsid w:val="00225FE9"/>
    <w:rsid w:val="00230040"/>
    <w:rsid w:val="00231ED1"/>
    <w:rsid w:val="00235062"/>
    <w:rsid w:val="0023536C"/>
    <w:rsid w:val="00236370"/>
    <w:rsid w:val="00236F9F"/>
    <w:rsid w:val="00237BDC"/>
    <w:rsid w:val="00245FEB"/>
    <w:rsid w:val="002501E2"/>
    <w:rsid w:val="00252203"/>
    <w:rsid w:val="00256598"/>
    <w:rsid w:val="00257170"/>
    <w:rsid w:val="0026048F"/>
    <w:rsid w:val="002608D6"/>
    <w:rsid w:val="00260B67"/>
    <w:rsid w:val="00265792"/>
    <w:rsid w:val="00266E31"/>
    <w:rsid w:val="0026787D"/>
    <w:rsid w:val="00267DA0"/>
    <w:rsid w:val="002734CB"/>
    <w:rsid w:val="0027646A"/>
    <w:rsid w:val="00277BF0"/>
    <w:rsid w:val="00280855"/>
    <w:rsid w:val="002808B8"/>
    <w:rsid w:val="00285FF6"/>
    <w:rsid w:val="002908E3"/>
    <w:rsid w:val="00294163"/>
    <w:rsid w:val="00294E57"/>
    <w:rsid w:val="00294F66"/>
    <w:rsid w:val="002A6834"/>
    <w:rsid w:val="002A7ACF"/>
    <w:rsid w:val="002B3B71"/>
    <w:rsid w:val="002B5156"/>
    <w:rsid w:val="002C1753"/>
    <w:rsid w:val="002C67C1"/>
    <w:rsid w:val="002D1E0C"/>
    <w:rsid w:val="002D3544"/>
    <w:rsid w:val="002D3658"/>
    <w:rsid w:val="002D75F4"/>
    <w:rsid w:val="002E57E8"/>
    <w:rsid w:val="002F030A"/>
    <w:rsid w:val="002F27C7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78F2"/>
    <w:rsid w:val="00334540"/>
    <w:rsid w:val="00336FEF"/>
    <w:rsid w:val="0033701A"/>
    <w:rsid w:val="003412E6"/>
    <w:rsid w:val="00344E42"/>
    <w:rsid w:val="00351C23"/>
    <w:rsid w:val="003556DB"/>
    <w:rsid w:val="003561C2"/>
    <w:rsid w:val="00362B7B"/>
    <w:rsid w:val="0036675A"/>
    <w:rsid w:val="00367692"/>
    <w:rsid w:val="00370141"/>
    <w:rsid w:val="003746B0"/>
    <w:rsid w:val="0038431C"/>
    <w:rsid w:val="00393F9D"/>
    <w:rsid w:val="003950A0"/>
    <w:rsid w:val="00395D8D"/>
    <w:rsid w:val="00396926"/>
    <w:rsid w:val="003A20CF"/>
    <w:rsid w:val="003A262D"/>
    <w:rsid w:val="003A39B8"/>
    <w:rsid w:val="003A7310"/>
    <w:rsid w:val="003B05C3"/>
    <w:rsid w:val="003B4575"/>
    <w:rsid w:val="003C6015"/>
    <w:rsid w:val="003D1913"/>
    <w:rsid w:val="003E0674"/>
    <w:rsid w:val="003E3CF4"/>
    <w:rsid w:val="003E4F7E"/>
    <w:rsid w:val="003E6538"/>
    <w:rsid w:val="003F0271"/>
    <w:rsid w:val="003F697F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241F6"/>
    <w:rsid w:val="00424D18"/>
    <w:rsid w:val="0043005F"/>
    <w:rsid w:val="00431B7D"/>
    <w:rsid w:val="00432833"/>
    <w:rsid w:val="00434497"/>
    <w:rsid w:val="00440548"/>
    <w:rsid w:val="00445105"/>
    <w:rsid w:val="00446DFA"/>
    <w:rsid w:val="004529FC"/>
    <w:rsid w:val="004548F1"/>
    <w:rsid w:val="00456683"/>
    <w:rsid w:val="00463B93"/>
    <w:rsid w:val="004651BE"/>
    <w:rsid w:val="0047186A"/>
    <w:rsid w:val="0047480F"/>
    <w:rsid w:val="00475E45"/>
    <w:rsid w:val="00476F59"/>
    <w:rsid w:val="004842B9"/>
    <w:rsid w:val="004847E5"/>
    <w:rsid w:val="00487230"/>
    <w:rsid w:val="00492B06"/>
    <w:rsid w:val="00493208"/>
    <w:rsid w:val="0049324C"/>
    <w:rsid w:val="004979AF"/>
    <w:rsid w:val="00497B37"/>
    <w:rsid w:val="00497B57"/>
    <w:rsid w:val="004A04AB"/>
    <w:rsid w:val="004A3B37"/>
    <w:rsid w:val="004A5AAE"/>
    <w:rsid w:val="004B5277"/>
    <w:rsid w:val="004C0063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1CA8"/>
    <w:rsid w:val="004F4209"/>
    <w:rsid w:val="00506097"/>
    <w:rsid w:val="005115C4"/>
    <w:rsid w:val="0051720E"/>
    <w:rsid w:val="00517602"/>
    <w:rsid w:val="00521891"/>
    <w:rsid w:val="005241A9"/>
    <w:rsid w:val="00527066"/>
    <w:rsid w:val="00532C7E"/>
    <w:rsid w:val="00535C97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62569"/>
    <w:rsid w:val="0057358A"/>
    <w:rsid w:val="00576109"/>
    <w:rsid w:val="0058498C"/>
    <w:rsid w:val="00584EAA"/>
    <w:rsid w:val="00590F9C"/>
    <w:rsid w:val="00591CEE"/>
    <w:rsid w:val="0059391F"/>
    <w:rsid w:val="0059790A"/>
    <w:rsid w:val="005A5486"/>
    <w:rsid w:val="005B0EA6"/>
    <w:rsid w:val="005B2388"/>
    <w:rsid w:val="005C1B0C"/>
    <w:rsid w:val="005C1D13"/>
    <w:rsid w:val="005C33B7"/>
    <w:rsid w:val="005C5F14"/>
    <w:rsid w:val="005D231D"/>
    <w:rsid w:val="005D2EE9"/>
    <w:rsid w:val="005D4CDE"/>
    <w:rsid w:val="005D6FC4"/>
    <w:rsid w:val="005D72CC"/>
    <w:rsid w:val="005E7251"/>
    <w:rsid w:val="005F07EB"/>
    <w:rsid w:val="005F21F7"/>
    <w:rsid w:val="005F26F6"/>
    <w:rsid w:val="005F3575"/>
    <w:rsid w:val="005F3A77"/>
    <w:rsid w:val="005F7447"/>
    <w:rsid w:val="00605644"/>
    <w:rsid w:val="006133BC"/>
    <w:rsid w:val="00614C19"/>
    <w:rsid w:val="00622027"/>
    <w:rsid w:val="006226DD"/>
    <w:rsid w:val="006318C0"/>
    <w:rsid w:val="00633154"/>
    <w:rsid w:val="00633672"/>
    <w:rsid w:val="00633E03"/>
    <w:rsid w:val="00636F9A"/>
    <w:rsid w:val="00644031"/>
    <w:rsid w:val="00650A44"/>
    <w:rsid w:val="00655D34"/>
    <w:rsid w:val="00655E15"/>
    <w:rsid w:val="00657A0B"/>
    <w:rsid w:val="0066535D"/>
    <w:rsid w:val="006660B7"/>
    <w:rsid w:val="00666AD2"/>
    <w:rsid w:val="00667D45"/>
    <w:rsid w:val="006773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A7770"/>
    <w:rsid w:val="006B4A5E"/>
    <w:rsid w:val="006B5A60"/>
    <w:rsid w:val="006B7DFA"/>
    <w:rsid w:val="006C1662"/>
    <w:rsid w:val="006C3E6D"/>
    <w:rsid w:val="006C50A0"/>
    <w:rsid w:val="006C6588"/>
    <w:rsid w:val="006C6B39"/>
    <w:rsid w:val="006E3049"/>
    <w:rsid w:val="006E374E"/>
    <w:rsid w:val="006E53F7"/>
    <w:rsid w:val="006E714E"/>
    <w:rsid w:val="006F0C66"/>
    <w:rsid w:val="006F14E2"/>
    <w:rsid w:val="006F359E"/>
    <w:rsid w:val="006F73FB"/>
    <w:rsid w:val="007023B0"/>
    <w:rsid w:val="00706AE9"/>
    <w:rsid w:val="00722794"/>
    <w:rsid w:val="00726CF4"/>
    <w:rsid w:val="007271F4"/>
    <w:rsid w:val="00731597"/>
    <w:rsid w:val="00735007"/>
    <w:rsid w:val="00735FB7"/>
    <w:rsid w:val="007415A2"/>
    <w:rsid w:val="0074207D"/>
    <w:rsid w:val="0074728C"/>
    <w:rsid w:val="007546E5"/>
    <w:rsid w:val="00756897"/>
    <w:rsid w:val="0076017A"/>
    <w:rsid w:val="0076116F"/>
    <w:rsid w:val="007704AB"/>
    <w:rsid w:val="007705F9"/>
    <w:rsid w:val="00771EEF"/>
    <w:rsid w:val="0077273F"/>
    <w:rsid w:val="007776A3"/>
    <w:rsid w:val="00781E56"/>
    <w:rsid w:val="00781F98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2B7"/>
    <w:rsid w:val="007C4C59"/>
    <w:rsid w:val="007C795B"/>
    <w:rsid w:val="007D07C4"/>
    <w:rsid w:val="007E1177"/>
    <w:rsid w:val="007E1921"/>
    <w:rsid w:val="007E319D"/>
    <w:rsid w:val="007F0041"/>
    <w:rsid w:val="007F35AE"/>
    <w:rsid w:val="007F6C93"/>
    <w:rsid w:val="007F7A59"/>
    <w:rsid w:val="008002EB"/>
    <w:rsid w:val="008044E1"/>
    <w:rsid w:val="00807397"/>
    <w:rsid w:val="00811A87"/>
    <w:rsid w:val="00815B23"/>
    <w:rsid w:val="00817C0C"/>
    <w:rsid w:val="00824CB0"/>
    <w:rsid w:val="00825489"/>
    <w:rsid w:val="0082593B"/>
    <w:rsid w:val="00832CC3"/>
    <w:rsid w:val="0083442B"/>
    <w:rsid w:val="00841D9E"/>
    <w:rsid w:val="008465C6"/>
    <w:rsid w:val="008513FE"/>
    <w:rsid w:val="008542CD"/>
    <w:rsid w:val="00854439"/>
    <w:rsid w:val="008607D6"/>
    <w:rsid w:val="00864699"/>
    <w:rsid w:val="00864B7D"/>
    <w:rsid w:val="0087087B"/>
    <w:rsid w:val="008766CF"/>
    <w:rsid w:val="00877A45"/>
    <w:rsid w:val="00892995"/>
    <w:rsid w:val="008947B8"/>
    <w:rsid w:val="008A0367"/>
    <w:rsid w:val="008A4334"/>
    <w:rsid w:val="008B1777"/>
    <w:rsid w:val="008B7F12"/>
    <w:rsid w:val="008C29E6"/>
    <w:rsid w:val="008C479E"/>
    <w:rsid w:val="008E04D9"/>
    <w:rsid w:val="008E24F1"/>
    <w:rsid w:val="008F2161"/>
    <w:rsid w:val="008F34D6"/>
    <w:rsid w:val="008F3904"/>
    <w:rsid w:val="00910A6D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4263A"/>
    <w:rsid w:val="009515DC"/>
    <w:rsid w:val="00951825"/>
    <w:rsid w:val="00953728"/>
    <w:rsid w:val="00953C5A"/>
    <w:rsid w:val="009572A1"/>
    <w:rsid w:val="0096140B"/>
    <w:rsid w:val="00963FB9"/>
    <w:rsid w:val="0096536E"/>
    <w:rsid w:val="0096596F"/>
    <w:rsid w:val="009666ED"/>
    <w:rsid w:val="0097559D"/>
    <w:rsid w:val="00976767"/>
    <w:rsid w:val="00982DEA"/>
    <w:rsid w:val="00983D4F"/>
    <w:rsid w:val="00983F08"/>
    <w:rsid w:val="009841BE"/>
    <w:rsid w:val="00985EC6"/>
    <w:rsid w:val="009957B0"/>
    <w:rsid w:val="009A1E26"/>
    <w:rsid w:val="009B1E80"/>
    <w:rsid w:val="009B26E4"/>
    <w:rsid w:val="009B2C9B"/>
    <w:rsid w:val="009B5543"/>
    <w:rsid w:val="009B7AAB"/>
    <w:rsid w:val="009C3BD1"/>
    <w:rsid w:val="009C5B4F"/>
    <w:rsid w:val="009D03FA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0CDF"/>
    <w:rsid w:val="00A22135"/>
    <w:rsid w:val="00A24873"/>
    <w:rsid w:val="00A25135"/>
    <w:rsid w:val="00A262A8"/>
    <w:rsid w:val="00A26F7F"/>
    <w:rsid w:val="00A271A0"/>
    <w:rsid w:val="00A5086B"/>
    <w:rsid w:val="00A5492B"/>
    <w:rsid w:val="00A60B6E"/>
    <w:rsid w:val="00A625BF"/>
    <w:rsid w:val="00A633B9"/>
    <w:rsid w:val="00A64429"/>
    <w:rsid w:val="00A64463"/>
    <w:rsid w:val="00A64584"/>
    <w:rsid w:val="00A67769"/>
    <w:rsid w:val="00A7361C"/>
    <w:rsid w:val="00A73A7D"/>
    <w:rsid w:val="00A76D92"/>
    <w:rsid w:val="00A81F60"/>
    <w:rsid w:val="00A85737"/>
    <w:rsid w:val="00A877BD"/>
    <w:rsid w:val="00A87E54"/>
    <w:rsid w:val="00A902C1"/>
    <w:rsid w:val="00A96F0C"/>
    <w:rsid w:val="00AA29FA"/>
    <w:rsid w:val="00AA588C"/>
    <w:rsid w:val="00AB0DF3"/>
    <w:rsid w:val="00AB1AE5"/>
    <w:rsid w:val="00AB1B37"/>
    <w:rsid w:val="00AB301F"/>
    <w:rsid w:val="00AB4728"/>
    <w:rsid w:val="00AB6A8D"/>
    <w:rsid w:val="00AB7035"/>
    <w:rsid w:val="00AB7A80"/>
    <w:rsid w:val="00AB7CA7"/>
    <w:rsid w:val="00AC2B89"/>
    <w:rsid w:val="00AC3208"/>
    <w:rsid w:val="00AC5805"/>
    <w:rsid w:val="00AC6156"/>
    <w:rsid w:val="00AD0A0F"/>
    <w:rsid w:val="00AD3D71"/>
    <w:rsid w:val="00AD43CC"/>
    <w:rsid w:val="00AD65F3"/>
    <w:rsid w:val="00AD702F"/>
    <w:rsid w:val="00AE0969"/>
    <w:rsid w:val="00AE0C34"/>
    <w:rsid w:val="00AE494C"/>
    <w:rsid w:val="00AF0F2D"/>
    <w:rsid w:val="00AF2EAF"/>
    <w:rsid w:val="00B03DC9"/>
    <w:rsid w:val="00B04364"/>
    <w:rsid w:val="00B105B2"/>
    <w:rsid w:val="00B15A6C"/>
    <w:rsid w:val="00B24F25"/>
    <w:rsid w:val="00B26E30"/>
    <w:rsid w:val="00B30328"/>
    <w:rsid w:val="00B34D73"/>
    <w:rsid w:val="00B351B8"/>
    <w:rsid w:val="00B36FD8"/>
    <w:rsid w:val="00B45ED1"/>
    <w:rsid w:val="00B51703"/>
    <w:rsid w:val="00B54104"/>
    <w:rsid w:val="00B54FFF"/>
    <w:rsid w:val="00B64200"/>
    <w:rsid w:val="00B65025"/>
    <w:rsid w:val="00B671BF"/>
    <w:rsid w:val="00B67F5B"/>
    <w:rsid w:val="00B80DEA"/>
    <w:rsid w:val="00B83F06"/>
    <w:rsid w:val="00B841AB"/>
    <w:rsid w:val="00B84C85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3520"/>
    <w:rsid w:val="00BD49DC"/>
    <w:rsid w:val="00BD5A35"/>
    <w:rsid w:val="00BD6D27"/>
    <w:rsid w:val="00BE0482"/>
    <w:rsid w:val="00BE0866"/>
    <w:rsid w:val="00BE20DD"/>
    <w:rsid w:val="00BE5E84"/>
    <w:rsid w:val="00BE7CC9"/>
    <w:rsid w:val="00BF0C6E"/>
    <w:rsid w:val="00BF2719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31704"/>
    <w:rsid w:val="00C364E6"/>
    <w:rsid w:val="00C44AC8"/>
    <w:rsid w:val="00C4507A"/>
    <w:rsid w:val="00C52531"/>
    <w:rsid w:val="00C56D6C"/>
    <w:rsid w:val="00C57A67"/>
    <w:rsid w:val="00C614EA"/>
    <w:rsid w:val="00C62C17"/>
    <w:rsid w:val="00C7220A"/>
    <w:rsid w:val="00C761CB"/>
    <w:rsid w:val="00C77541"/>
    <w:rsid w:val="00C84847"/>
    <w:rsid w:val="00C86E43"/>
    <w:rsid w:val="00C87E95"/>
    <w:rsid w:val="00C928B9"/>
    <w:rsid w:val="00C975AA"/>
    <w:rsid w:val="00CA0090"/>
    <w:rsid w:val="00CA1937"/>
    <w:rsid w:val="00CC2A43"/>
    <w:rsid w:val="00CD18A1"/>
    <w:rsid w:val="00CD525F"/>
    <w:rsid w:val="00CD63D6"/>
    <w:rsid w:val="00CD7324"/>
    <w:rsid w:val="00CE46E0"/>
    <w:rsid w:val="00CF03B8"/>
    <w:rsid w:val="00CF2784"/>
    <w:rsid w:val="00CF6CE6"/>
    <w:rsid w:val="00D06581"/>
    <w:rsid w:val="00D06C9C"/>
    <w:rsid w:val="00D16DB7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466F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1E88"/>
    <w:rsid w:val="00DE6021"/>
    <w:rsid w:val="00DF27A7"/>
    <w:rsid w:val="00E04B0E"/>
    <w:rsid w:val="00E05B59"/>
    <w:rsid w:val="00E07446"/>
    <w:rsid w:val="00E07C11"/>
    <w:rsid w:val="00E07EE0"/>
    <w:rsid w:val="00E101F1"/>
    <w:rsid w:val="00E11EE8"/>
    <w:rsid w:val="00E1269A"/>
    <w:rsid w:val="00E14EC8"/>
    <w:rsid w:val="00E1642E"/>
    <w:rsid w:val="00E169B7"/>
    <w:rsid w:val="00E16D22"/>
    <w:rsid w:val="00E23183"/>
    <w:rsid w:val="00E263A1"/>
    <w:rsid w:val="00E26DDF"/>
    <w:rsid w:val="00E27EA1"/>
    <w:rsid w:val="00E3278D"/>
    <w:rsid w:val="00E32DA2"/>
    <w:rsid w:val="00E33E74"/>
    <w:rsid w:val="00E366B6"/>
    <w:rsid w:val="00E36B79"/>
    <w:rsid w:val="00E53D05"/>
    <w:rsid w:val="00E562F3"/>
    <w:rsid w:val="00E57AF8"/>
    <w:rsid w:val="00E60873"/>
    <w:rsid w:val="00E62119"/>
    <w:rsid w:val="00E62823"/>
    <w:rsid w:val="00E65EC2"/>
    <w:rsid w:val="00E67805"/>
    <w:rsid w:val="00E74A2C"/>
    <w:rsid w:val="00E8314F"/>
    <w:rsid w:val="00E872C2"/>
    <w:rsid w:val="00E92761"/>
    <w:rsid w:val="00E94C68"/>
    <w:rsid w:val="00E96F82"/>
    <w:rsid w:val="00EA15D1"/>
    <w:rsid w:val="00EA1C23"/>
    <w:rsid w:val="00EB10E1"/>
    <w:rsid w:val="00EB2605"/>
    <w:rsid w:val="00EB7ACD"/>
    <w:rsid w:val="00EC0600"/>
    <w:rsid w:val="00EC1A92"/>
    <w:rsid w:val="00EE0ADA"/>
    <w:rsid w:val="00EE130A"/>
    <w:rsid w:val="00EE1450"/>
    <w:rsid w:val="00EE37B2"/>
    <w:rsid w:val="00EE3A06"/>
    <w:rsid w:val="00EE4871"/>
    <w:rsid w:val="00EE489A"/>
    <w:rsid w:val="00EF3A5F"/>
    <w:rsid w:val="00EF4DC7"/>
    <w:rsid w:val="00EF547F"/>
    <w:rsid w:val="00F0273E"/>
    <w:rsid w:val="00F028E3"/>
    <w:rsid w:val="00F02EB4"/>
    <w:rsid w:val="00F05AE7"/>
    <w:rsid w:val="00F10880"/>
    <w:rsid w:val="00F12E87"/>
    <w:rsid w:val="00F14966"/>
    <w:rsid w:val="00F17576"/>
    <w:rsid w:val="00F2008A"/>
    <w:rsid w:val="00F23AF1"/>
    <w:rsid w:val="00F35201"/>
    <w:rsid w:val="00F3589A"/>
    <w:rsid w:val="00F358DD"/>
    <w:rsid w:val="00F411B0"/>
    <w:rsid w:val="00F44F70"/>
    <w:rsid w:val="00F52E10"/>
    <w:rsid w:val="00F5308E"/>
    <w:rsid w:val="00F62596"/>
    <w:rsid w:val="00F67449"/>
    <w:rsid w:val="00F71A63"/>
    <w:rsid w:val="00F7510A"/>
    <w:rsid w:val="00F80327"/>
    <w:rsid w:val="00F8075F"/>
    <w:rsid w:val="00F814FC"/>
    <w:rsid w:val="00F8171A"/>
    <w:rsid w:val="00F83691"/>
    <w:rsid w:val="00F84D63"/>
    <w:rsid w:val="00F91527"/>
    <w:rsid w:val="00F95728"/>
    <w:rsid w:val="00F965E1"/>
    <w:rsid w:val="00FA18B2"/>
    <w:rsid w:val="00FA2219"/>
    <w:rsid w:val="00FA24AA"/>
    <w:rsid w:val="00FA3431"/>
    <w:rsid w:val="00FB198F"/>
    <w:rsid w:val="00FB373F"/>
    <w:rsid w:val="00FB479D"/>
    <w:rsid w:val="00FC1879"/>
    <w:rsid w:val="00FC2EB7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459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32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3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49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755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7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gobierno.pr/sites/default/files/publicaciones/2015/06/reglamento_ley_42-2015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gobierno.pr/sites/default/files/ley-42-28-mar-2015.pdf" TargetMode="External"/><Relationship Id="rId17" Type="http://schemas.openxmlformats.org/officeDocument/2006/relationships/image" Target="media/image7.jpeg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AC82144F-4540-4F09-9F4C-5ACA3D91D25F}"/>
</file>

<file path=customXml/itemProps2.xml><?xml version="1.0" encoding="utf-8"?>
<ds:datastoreItem xmlns:ds="http://schemas.openxmlformats.org/officeDocument/2006/customXml" ds:itemID="{4E1C3E4A-76DC-472E-87DC-E8EE10969D0B}"/>
</file>

<file path=customXml/itemProps3.xml><?xml version="1.0" encoding="utf-8"?>
<ds:datastoreItem xmlns:ds="http://schemas.openxmlformats.org/officeDocument/2006/customXml" ds:itemID="{98602303-183C-41CD-9EF1-26917EE8AB30}"/>
</file>

<file path=customXml/itemProps4.xml><?xml version="1.0" encoding="utf-8"?>
<ds:datastoreItem xmlns:ds="http://schemas.openxmlformats.org/officeDocument/2006/customXml" ds:itemID="{9F748B15-3584-4FC2-AB03-B921B0AC13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Boletin Informativo 15-12: Proveer al menos dos alternativas de pago</vt:lpstr>
    </vt:vector>
  </TitlesOfParts>
  <Company>Area de Politica Contributiva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Informativo 15-12 Proveer al menos dos alternativas de pago a sus clientes</dc:title>
  <dc:subject>Referido</dc:subject>
  <dc:creator>Johanna Torres Bonilla</dc:creator>
  <cp:keywords>DAC</cp:keywords>
  <cp:lastModifiedBy>jtb3509</cp:lastModifiedBy>
  <cp:revision>13</cp:revision>
  <cp:lastPrinted>2015-08-17T17:57:00Z</cp:lastPrinted>
  <dcterms:created xsi:type="dcterms:W3CDTF">2015-07-07T13:04:00Z</dcterms:created>
  <dcterms:modified xsi:type="dcterms:W3CDTF">2015-08-17T17:57:00Z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