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8D77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B2EEC" w:rsidRPr="00EB2EEC" w:rsidRDefault="009B55F7" w:rsidP="000A173C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En la actualidad la Patente Nacional no está vigente. Esta plantilla es sólo</w:t>
      </w:r>
      <w:r w:rsidR="00F96AA1">
        <w:rPr>
          <w:rFonts w:ascii="Times New Roman" w:hAnsi="Times New Roman"/>
          <w:sz w:val="24"/>
          <w:szCs w:val="24"/>
          <w:lang w:val="es-PR"/>
        </w:rPr>
        <w:t xml:space="preserve"> pa</w:t>
      </w:r>
      <w:r w:rsidR="00174A74">
        <w:rPr>
          <w:rFonts w:ascii="Times New Roman" w:hAnsi="Times New Roman"/>
          <w:sz w:val="24"/>
          <w:szCs w:val="24"/>
          <w:lang w:val="es-PR"/>
        </w:rPr>
        <w:t xml:space="preserve">ra referencia </w:t>
      </w:r>
      <w:r w:rsidR="00F96AA1">
        <w:rPr>
          <w:rFonts w:ascii="Times New Roman" w:hAnsi="Times New Roman"/>
          <w:sz w:val="24"/>
          <w:szCs w:val="24"/>
          <w:lang w:val="es-PR"/>
        </w:rPr>
        <w:t>del Técnico en C</w:t>
      </w:r>
      <w:r>
        <w:rPr>
          <w:rFonts w:ascii="Times New Roman" w:hAnsi="Times New Roman"/>
          <w:sz w:val="24"/>
          <w:szCs w:val="24"/>
          <w:lang w:val="es-PR"/>
        </w:rPr>
        <w:t xml:space="preserve">ontribuciones.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9B55F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8D77BB" w:rsidP="000A173C">
            <w:pPr>
              <w:pStyle w:val="NormalWeb"/>
              <w:rPr>
                <w:color w:val="000000"/>
                <w:lang w:val="es-PR"/>
              </w:rPr>
            </w:pPr>
            <w:r w:rsidRPr="008D77BB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A1F16" w:rsidP="000A173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401784" w:rsidRDefault="0089529A" w:rsidP="000A173C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401784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9B78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8D77BB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77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40178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0178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B55F7" w:rsidRPr="00E72C9F" w:rsidRDefault="00027D6C" w:rsidP="009B55F7">
      <w:pPr>
        <w:pStyle w:val="FootnoteText"/>
        <w:numPr>
          <w:ilvl w:val="0"/>
          <w:numId w:val="1"/>
        </w:numPr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2C9F">
        <w:rPr>
          <w:rFonts w:ascii="Times New Roman" w:hAnsi="Times New Roman" w:cs="Times New Roman"/>
          <w:b/>
          <w:sz w:val="24"/>
          <w:szCs w:val="24"/>
        </w:rPr>
        <w:t xml:space="preserve">Disposiciones Generales </w:t>
      </w:r>
    </w:p>
    <w:p w:rsidR="009B55F7" w:rsidRDefault="00027D6C" w:rsidP="000A173C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Todo individuo que tenga un ingreso neto sujeto a Contribución Básica Alterna (CBA) de $150,000 o más estará sujeto a esta contribución.  Para determinar el ingreso neto sujeto a CBA y para calcular dicha contribución, deberá utilizar el Anejo O Individuo.</w:t>
      </w:r>
      <w:r w:rsidR="009B55F7">
        <w:rPr>
          <w:sz w:val="24"/>
          <w:szCs w:val="24"/>
          <w:lang w:val="es-ES"/>
        </w:rPr>
        <w:t xml:space="preserve"> </w:t>
      </w:r>
      <w:r w:rsidR="009B55F7" w:rsidRPr="009B55F7">
        <w:rPr>
          <w:rFonts w:ascii="Times New Roman" w:hAnsi="Times New Roman" w:cs="Times New Roman"/>
          <w:sz w:val="24"/>
          <w:szCs w:val="24"/>
          <w:lang w:val="es-ES"/>
        </w:rPr>
        <w:t xml:space="preserve">Desde </w:t>
      </w:r>
      <w:r w:rsidR="009B55F7" w:rsidRPr="009B55F7">
        <w:rPr>
          <w:rFonts w:ascii="Times New Roman" w:hAnsi="Times New Roman" w:cs="Times New Roman"/>
          <w:sz w:val="24"/>
          <w:szCs w:val="24"/>
        </w:rPr>
        <w:t>el año contributivo 2011, aumentó el límite de ingreso neto sujeto a CBA de $75,000 a $150,000.</w:t>
      </w:r>
    </w:p>
    <w:p w:rsidR="009B55F7" w:rsidRDefault="00027D6C" w:rsidP="000A173C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En el caso de contribuyentes casados que rindan planillas separadas o elijan al cómputo opcional de la contribución (Anejo CO Individuo), los niveles de ingreso neto sujeto a CBA serán de $150,000 para cada uno.</w:t>
      </w:r>
      <w:r w:rsidRPr="009B55F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27D6C" w:rsidRPr="00E72C9F" w:rsidRDefault="00027D6C" w:rsidP="00E72C9F">
      <w:pPr>
        <w:pStyle w:val="FootnoteText"/>
        <w:numPr>
          <w:ilvl w:val="1"/>
          <w:numId w:val="1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hAnsi="Times New Roman" w:cs="Times New Roman"/>
          <w:sz w:val="24"/>
          <w:szCs w:val="24"/>
        </w:rPr>
        <w:t>En el caso de contribuyentes casados que rindan planilla separada o elijan el cómputo opcional de la contribución, los niveles de ingreso neto sujeto a la CBA se determinarán por separado para cada cónyuge de la misma forma que si fuese un contribuyente individual.</w:t>
      </w:r>
    </w:p>
    <w:p w:rsidR="009B55F7" w:rsidRDefault="00027D6C" w:rsidP="000A173C">
      <w:pPr>
        <w:pStyle w:val="FootnoteText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72C9F">
        <w:rPr>
          <w:rFonts w:ascii="Times New Roman" w:eastAsia="MS Mincho" w:hAnsi="Times New Roman" w:cs="Times New Roman"/>
          <w:b/>
          <w:sz w:val="24"/>
          <w:szCs w:val="24"/>
        </w:rPr>
        <w:t>Cambios aplicables al año contributivo</w:t>
      </w:r>
      <w:r w:rsidRPr="004D344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D3440">
        <w:rPr>
          <w:rFonts w:ascii="Times New Roman" w:eastAsia="MS Mincho" w:hAnsi="Times New Roman" w:cs="Times New Roman"/>
          <w:b/>
          <w:sz w:val="24"/>
          <w:szCs w:val="24"/>
        </w:rPr>
        <w:t>2014</w:t>
      </w:r>
    </w:p>
    <w:p w:rsidR="000A173C" w:rsidRPr="000A173C" w:rsidRDefault="00027D6C" w:rsidP="000A173C">
      <w:pPr>
        <w:pStyle w:val="FootnoteText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5F7">
        <w:rPr>
          <w:rFonts w:ascii="Times New Roman" w:eastAsia="MS Mincho" w:hAnsi="Times New Roman" w:cs="Times New Roman"/>
          <w:sz w:val="24"/>
          <w:szCs w:val="24"/>
        </w:rPr>
        <w:t xml:space="preserve">Se impondrá una contribución básica alterna cuando la misma sea mayor que la contribución regular, determinada de acuerdo con la siguiente tabla: </w:t>
      </w:r>
    </w:p>
    <w:p w:rsidR="00027D6C" w:rsidRPr="00027D6C" w:rsidRDefault="00027D6C" w:rsidP="00027D6C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9177" w:type="dxa"/>
        <w:tblInd w:w="288" w:type="dxa"/>
        <w:tblLook w:val="04A0"/>
      </w:tblPr>
      <w:tblGrid>
        <w:gridCol w:w="6272"/>
        <w:gridCol w:w="2905"/>
      </w:tblGrid>
      <w:tr w:rsidR="00027D6C" w:rsidRPr="00027D6C" w:rsidTr="00F96AA1">
        <w:trPr>
          <w:cnfStyle w:val="100000000000"/>
          <w:trHeight w:val="538"/>
        </w:trPr>
        <w:tc>
          <w:tcPr>
            <w:cnfStyle w:val="001000000000"/>
            <w:tcW w:w="6272" w:type="dxa"/>
            <w:shd w:val="clear" w:color="auto" w:fill="548DD4" w:themeFill="text2" w:themeFillTint="99"/>
          </w:tcPr>
          <w:p w:rsidR="00027D6C" w:rsidRPr="009B78C1" w:rsidRDefault="00027D6C" w:rsidP="00A46C46">
            <w:pPr>
              <w:spacing w:before="240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Ingreso Neto Sujeto a CBA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027D6C" w:rsidRPr="009B78C1" w:rsidRDefault="00027D6C" w:rsidP="00A46C46">
            <w:pPr>
              <w:spacing w:before="24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</w:rPr>
              <w:t>Tipo Contributivo</w:t>
            </w:r>
          </w:p>
        </w:tc>
      </w:tr>
      <w:tr w:rsidR="00027D6C" w:rsidRPr="00027D6C" w:rsidTr="00F96AA1">
        <w:trPr>
          <w:cnfStyle w:val="000000100000"/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widowContro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>De $150,000 a $200,000</w:t>
            </w:r>
          </w:p>
        </w:tc>
        <w:tc>
          <w:tcPr>
            <w:tcW w:w="2905" w:type="dxa"/>
          </w:tcPr>
          <w:p w:rsidR="00027D6C" w:rsidRPr="00027D6C" w:rsidRDefault="00027D6C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27D6C" w:rsidRPr="00027D6C" w:rsidTr="00F96AA1">
        <w:trPr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$200,000, pero no mayor de $300,000</w:t>
            </w:r>
          </w:p>
        </w:tc>
        <w:tc>
          <w:tcPr>
            <w:tcW w:w="2905" w:type="dxa"/>
          </w:tcPr>
          <w:p w:rsidR="00027D6C" w:rsidRPr="00027D6C" w:rsidRDefault="00027D6C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27D6C" w:rsidRPr="00027D6C" w:rsidTr="00F96AA1">
        <w:trPr>
          <w:cnfStyle w:val="000000100000"/>
          <w:trHeight w:hRule="exact" w:val="443"/>
        </w:trPr>
        <w:tc>
          <w:tcPr>
            <w:cnfStyle w:val="001000000000"/>
            <w:tcW w:w="6272" w:type="dxa"/>
          </w:tcPr>
          <w:p w:rsidR="00027D6C" w:rsidRPr="00196652" w:rsidRDefault="00027D6C" w:rsidP="0023380C">
            <w:pPr>
              <w:widowControl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 xml:space="preserve">En </w:t>
            </w: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exceso de $3</w:t>
            </w:r>
            <w:r w:rsidRPr="00196652">
              <w:rPr>
                <w:rFonts w:ascii="Times New Roman" w:hAnsi="Times New Roman"/>
                <w:b w:val="0"/>
                <w:sz w:val="24"/>
                <w:szCs w:val="24"/>
              </w:rPr>
              <w:t>00,000</w:t>
            </w:r>
          </w:p>
        </w:tc>
        <w:tc>
          <w:tcPr>
            <w:tcW w:w="2905" w:type="dxa"/>
          </w:tcPr>
          <w:p w:rsidR="00027D6C" w:rsidRPr="00027D6C" w:rsidRDefault="00027D6C" w:rsidP="000A173C">
            <w:pPr>
              <w:ind w:left="16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7D6C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0A173C" w:rsidRDefault="000A173C" w:rsidP="0040178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s-ES"/>
        </w:rPr>
      </w:pPr>
    </w:p>
    <w:p w:rsidR="009B78C1" w:rsidRPr="00401784" w:rsidRDefault="009B78C1" w:rsidP="0040178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s-ES"/>
        </w:rPr>
      </w:pPr>
    </w:p>
    <w:p w:rsidR="00196652" w:rsidRDefault="00196652" w:rsidP="00196652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6652">
        <w:rPr>
          <w:rFonts w:ascii="Times New Roman" w:hAnsi="Times New Roman" w:cs="Times New Roman"/>
          <w:b/>
          <w:sz w:val="24"/>
          <w:szCs w:val="24"/>
        </w:rPr>
        <w:t>Tabla 2013:</w:t>
      </w:r>
    </w:p>
    <w:p w:rsidR="009B78C1" w:rsidRPr="00196652" w:rsidRDefault="009B78C1" w:rsidP="00196652">
      <w:pPr>
        <w:pStyle w:val="FootnoteText"/>
        <w:rPr>
          <w:b/>
          <w:sz w:val="24"/>
          <w:szCs w:val="24"/>
        </w:rPr>
      </w:pPr>
    </w:p>
    <w:tbl>
      <w:tblPr>
        <w:tblStyle w:val="MediumGrid1-Accent5"/>
        <w:tblW w:w="0" w:type="auto"/>
        <w:tblLayout w:type="fixed"/>
        <w:tblLook w:val="04A0"/>
      </w:tblPr>
      <w:tblGrid>
        <w:gridCol w:w="4597"/>
        <w:gridCol w:w="4857"/>
      </w:tblGrid>
      <w:tr w:rsidR="00196652" w:rsidRPr="004D3440" w:rsidTr="00196652">
        <w:trPr>
          <w:cnfStyle w:val="100000000000"/>
          <w:trHeight w:val="144"/>
        </w:trPr>
        <w:tc>
          <w:tcPr>
            <w:cnfStyle w:val="001000000000"/>
            <w:tcW w:w="459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Ingreso Neto Sujeto a CBA</w:t>
            </w:r>
          </w:p>
        </w:tc>
        <w:tc>
          <w:tcPr>
            <w:tcW w:w="485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Tipo Contributivo</w:t>
            </w:r>
          </w:p>
        </w:tc>
      </w:tr>
      <w:tr w:rsidR="00196652" w:rsidRPr="004D3440" w:rsidTr="00196652">
        <w:trPr>
          <w:cnfStyle w:val="000000100000"/>
          <w:trHeight w:val="144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De $150,000 – $250,000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10%</w:t>
            </w:r>
          </w:p>
        </w:tc>
      </w:tr>
      <w:tr w:rsidR="00196652" w:rsidRPr="004D3440" w:rsidTr="00196652">
        <w:trPr>
          <w:trHeight w:val="251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$250,000, pero no mayor de $500,000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</w:tr>
      <w:tr w:rsidR="00196652" w:rsidRPr="004D3440" w:rsidTr="00196652">
        <w:trPr>
          <w:cnfStyle w:val="000000100000"/>
          <w:trHeight w:val="251"/>
        </w:trPr>
        <w:tc>
          <w:tcPr>
            <w:cnfStyle w:val="001000000000"/>
            <w:tcW w:w="459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En exceso de $500,000 </w:t>
            </w:r>
          </w:p>
        </w:tc>
        <w:tc>
          <w:tcPr>
            <w:tcW w:w="4857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24%</w:t>
            </w:r>
          </w:p>
        </w:tc>
      </w:tr>
    </w:tbl>
    <w:p w:rsidR="00196652" w:rsidRPr="00196652" w:rsidRDefault="00196652" w:rsidP="00196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96652" w:rsidRDefault="00196652" w:rsidP="00196652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 w:rsidRPr="00196652">
        <w:rPr>
          <w:rFonts w:ascii="Times New Roman" w:hAnsi="Times New Roman" w:cs="Times New Roman"/>
          <w:b/>
          <w:sz w:val="24"/>
          <w:szCs w:val="24"/>
        </w:rPr>
        <w:t>Tabla 2012</w:t>
      </w:r>
      <w:r>
        <w:rPr>
          <w:rFonts w:ascii="Times New Roman" w:hAnsi="Times New Roman" w:cs="Times New Roman"/>
          <w:b/>
          <w:sz w:val="24"/>
          <w:szCs w:val="24"/>
        </w:rPr>
        <w:t xml:space="preserve"> y años anteriores</w:t>
      </w:r>
      <w:r w:rsidRPr="00196652">
        <w:rPr>
          <w:rFonts w:ascii="Times New Roman" w:hAnsi="Times New Roman" w:cs="Times New Roman"/>
          <w:b/>
          <w:sz w:val="24"/>
          <w:szCs w:val="24"/>
        </w:rPr>
        <w:t>:</w:t>
      </w:r>
    </w:p>
    <w:p w:rsidR="009B78C1" w:rsidRPr="00196652" w:rsidRDefault="009B78C1" w:rsidP="00196652">
      <w:pPr>
        <w:pStyle w:val="FootnoteText"/>
        <w:rPr>
          <w:b/>
          <w:sz w:val="24"/>
          <w:szCs w:val="24"/>
        </w:rPr>
      </w:pPr>
    </w:p>
    <w:tbl>
      <w:tblPr>
        <w:tblStyle w:val="MediumGrid1-Accent5"/>
        <w:tblW w:w="0" w:type="auto"/>
        <w:tblLayout w:type="fixed"/>
        <w:tblLook w:val="04A0"/>
      </w:tblPr>
      <w:tblGrid>
        <w:gridCol w:w="4567"/>
        <w:gridCol w:w="4826"/>
      </w:tblGrid>
      <w:tr w:rsidR="00196652" w:rsidRPr="004D3440" w:rsidTr="00196652">
        <w:trPr>
          <w:cnfStyle w:val="100000000000"/>
          <w:trHeight w:val="325"/>
        </w:trPr>
        <w:tc>
          <w:tcPr>
            <w:cnfStyle w:val="001000000000"/>
            <w:tcW w:w="4567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Ingreso Neto Sujeto a CBA</w:t>
            </w:r>
          </w:p>
        </w:tc>
        <w:tc>
          <w:tcPr>
            <w:tcW w:w="4826" w:type="dxa"/>
            <w:shd w:val="clear" w:color="auto" w:fill="548DD4" w:themeFill="text2" w:themeFillTint="99"/>
          </w:tcPr>
          <w:p w:rsidR="00196652" w:rsidRPr="009B78C1" w:rsidRDefault="00196652" w:rsidP="009B78C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9B78C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Tipo Contributivo</w:t>
            </w:r>
          </w:p>
        </w:tc>
      </w:tr>
      <w:tr w:rsidR="00196652" w:rsidRPr="004D3440" w:rsidTr="00196652">
        <w:trPr>
          <w:cnfStyle w:val="000000100000"/>
          <w:trHeight w:val="325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De $150,000 – $250,000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10%</w:t>
            </w:r>
          </w:p>
        </w:tc>
      </w:tr>
      <w:tr w:rsidR="00196652" w:rsidRPr="004D3440" w:rsidTr="00196652">
        <w:trPr>
          <w:trHeight w:val="563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$250,000, pero no mayor de $500,000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96652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</w:tr>
      <w:tr w:rsidR="00196652" w:rsidRPr="00196652" w:rsidTr="00196652">
        <w:trPr>
          <w:cnfStyle w:val="000000100000"/>
          <w:trHeight w:val="563"/>
        </w:trPr>
        <w:tc>
          <w:tcPr>
            <w:cnfStyle w:val="001000000000"/>
            <w:tcW w:w="4567" w:type="dxa"/>
          </w:tcPr>
          <w:p w:rsidR="00196652" w:rsidRPr="00196652" w:rsidRDefault="00196652" w:rsidP="0023380C">
            <w:pP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En exceso de $300,000 </w:t>
            </w:r>
          </w:p>
        </w:tc>
        <w:tc>
          <w:tcPr>
            <w:tcW w:w="4826" w:type="dxa"/>
          </w:tcPr>
          <w:p w:rsidR="00196652" w:rsidRPr="00196652" w:rsidRDefault="00196652" w:rsidP="0023380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20%</w:t>
            </w:r>
          </w:p>
        </w:tc>
      </w:tr>
    </w:tbl>
    <w:p w:rsidR="00196652" w:rsidRPr="00196652" w:rsidRDefault="00196652" w:rsidP="0019665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A173C" w:rsidRPr="000A173C" w:rsidRDefault="000A173C" w:rsidP="000A173C">
      <w:pPr>
        <w:pStyle w:val="FootnoteText"/>
        <w:numPr>
          <w:ilvl w:val="1"/>
          <w:numId w:val="1"/>
        </w:numPr>
        <w:tabs>
          <w:tab w:val="left" w:pos="16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173C">
        <w:rPr>
          <w:rFonts w:ascii="Times New Roman" w:hAnsi="Times New Roman"/>
          <w:sz w:val="24"/>
          <w:szCs w:val="24"/>
          <w:lang w:val="es-ES"/>
        </w:rPr>
        <w:t xml:space="preserve">Para años contributivos comenzados después del 31 de diciembre de 2013, la contribución adicional </w:t>
      </w:r>
      <w:r w:rsidRPr="000A173C">
        <w:rPr>
          <w:rFonts w:ascii="Times New Roman" w:hAnsi="Times New Roman"/>
          <w:sz w:val="24"/>
          <w:szCs w:val="24"/>
        </w:rPr>
        <w:t xml:space="preserve">(“Patente Nacional”), </w:t>
      </w:r>
      <w:r w:rsidRPr="000A173C">
        <w:rPr>
          <w:rFonts w:ascii="Times New Roman" w:hAnsi="Times New Roman"/>
          <w:sz w:val="24"/>
          <w:szCs w:val="24"/>
          <w:lang w:val="es-ES"/>
        </w:rPr>
        <w:t xml:space="preserve">sobre el monto agregado de la participación distribuible del ingreso bruto de entidades conducto </w:t>
      </w:r>
      <w:r w:rsidRPr="000A173C">
        <w:rPr>
          <w:rFonts w:ascii="Times New Roman" w:hAnsi="Times New Roman"/>
          <w:b/>
          <w:sz w:val="24"/>
          <w:szCs w:val="24"/>
          <w:u w:val="single"/>
          <w:lang w:val="es-ES"/>
        </w:rPr>
        <w:t>no</w:t>
      </w:r>
      <w:r w:rsidRPr="000A173C">
        <w:rPr>
          <w:rFonts w:ascii="Times New Roman" w:hAnsi="Times New Roman"/>
          <w:sz w:val="24"/>
          <w:szCs w:val="24"/>
          <w:lang w:val="es-ES"/>
        </w:rPr>
        <w:t xml:space="preserve"> formará parte del cómputo de la contribución básica alterna.  Para el año contributivo 2013, esa contribución formaba parte de la contribución básica alterna y se reflejaba en el Anejo O, Parte II, línea 5. </w:t>
      </w:r>
    </w:p>
    <w:p w:rsidR="000A173C" w:rsidRPr="00A46C46" w:rsidRDefault="000A173C" w:rsidP="00A46C46">
      <w:pPr>
        <w:pStyle w:val="FootnoteText"/>
        <w:numPr>
          <w:ilvl w:val="1"/>
          <w:numId w:val="1"/>
        </w:numPr>
        <w:tabs>
          <w:tab w:val="left" w:pos="1530"/>
        </w:tabs>
        <w:spacing w:after="120"/>
        <w:ind w:left="1627"/>
        <w:jc w:val="left"/>
        <w:rPr>
          <w:rFonts w:ascii="Times New Roman" w:hAnsi="Times New Roman" w:cs="Times New Roman"/>
          <w:sz w:val="24"/>
          <w:szCs w:val="24"/>
        </w:rPr>
      </w:pPr>
      <w:r w:rsidRPr="000A173C">
        <w:rPr>
          <w:rFonts w:ascii="Times New Roman" w:hAnsi="Times New Roman"/>
          <w:sz w:val="24"/>
          <w:szCs w:val="24"/>
          <w:lang w:val="es-ES"/>
        </w:rPr>
        <w:t xml:space="preserve">Al determinar la contribución básica alterna se permite reclamar el crédito por contribuciones pagadas a los Estados Unidos, sus posesiones y países extranjeros con ciertos ajustes. Por lo tanto, al determinar el crédito a reclamar será necesario recalcular el crédito determinado en el Anejo C Individuo para la contribución regular, sustituyendo la contribución determinada por la contribución básica alterna y el ingreso neto por el ingreso neto sujeto a contribución básica alterna. Para más detalles, vea las instrucciones del Anejo C Individuo. Es necesario identificar el Anejo C Individuo como “computado para </w:t>
      </w:r>
      <w:r w:rsidRPr="000A173C">
        <w:rPr>
          <w:rFonts w:ascii="Times New Roman" w:hAnsi="Times New Roman"/>
          <w:sz w:val="24"/>
          <w:szCs w:val="24"/>
          <w:lang w:val="es-ES"/>
        </w:rPr>
        <w:lastRenderedPageBreak/>
        <w:t>la contribución básica alterna” en la parte superior del mismo e incluir ambos Anejos C Individuo con la planilla</w:t>
      </w:r>
      <w:r w:rsidR="00A46C46">
        <w:rPr>
          <w:rFonts w:ascii="Times New Roman" w:hAnsi="Times New Roman"/>
          <w:sz w:val="24"/>
          <w:szCs w:val="24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9B78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74A74" w:rsidRPr="00027D6C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Artículo 12 de la Ley 77- 2014</w:t>
      </w:r>
    </w:p>
    <w:p w:rsidR="00174A74" w:rsidRPr="00174A74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pacing w:val="-10"/>
          <w:sz w:val="24"/>
          <w:szCs w:val="24"/>
          <w:lang w:val="es-PR"/>
        </w:rPr>
        <w:t>Artículo</w:t>
      </w:r>
      <w:r w:rsidRPr="00196652">
        <w:rPr>
          <w:rFonts w:ascii="Times New Roman" w:hAnsi="Times New Roman"/>
          <w:spacing w:val="-10"/>
          <w:sz w:val="24"/>
          <w:szCs w:val="24"/>
          <w:lang w:val="es-PR"/>
        </w:rPr>
        <w:t xml:space="preserve"> 8  de la Ley 117-2013</w:t>
      </w:r>
    </w:p>
    <w:p w:rsidR="00174A74" w:rsidRPr="000A173C" w:rsidRDefault="00174A74" w:rsidP="00174A7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196652">
        <w:rPr>
          <w:rFonts w:ascii="Times New Roman" w:hAnsi="Times New Roman"/>
          <w:spacing w:val="-10"/>
          <w:sz w:val="24"/>
          <w:szCs w:val="24"/>
          <w:lang w:val="es-PR"/>
        </w:rPr>
        <w:t>Art</w:t>
      </w:r>
      <w:r>
        <w:rPr>
          <w:rFonts w:ascii="Times New Roman" w:hAnsi="Times New Roman"/>
          <w:spacing w:val="-10"/>
          <w:sz w:val="24"/>
          <w:szCs w:val="24"/>
          <w:lang w:val="es-PR"/>
        </w:rPr>
        <w:t xml:space="preserve">ículo 15 de la Ley 40-2013 </w:t>
      </w:r>
    </w:p>
    <w:p w:rsidR="00174A74" w:rsidRPr="00174A74" w:rsidRDefault="008D77BB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174A74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174A74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174A74" w:rsidRPr="00174A74">
        <w:rPr>
          <w:lang w:val="es-PR"/>
        </w:rPr>
        <w:t xml:space="preserve"> </w:t>
      </w:r>
    </w:p>
    <w:p w:rsidR="00027D6C" w:rsidRPr="00027D6C" w:rsidRDefault="00027D6C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Sección 1021.02</w:t>
      </w:r>
    </w:p>
    <w:p w:rsidR="00027D6C" w:rsidRPr="00027D6C" w:rsidRDefault="00027D6C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7D6C">
        <w:rPr>
          <w:rFonts w:ascii="Times New Roman" w:hAnsi="Times New Roman"/>
          <w:color w:val="000000"/>
          <w:sz w:val="24"/>
          <w:szCs w:val="24"/>
          <w:lang w:val="es-PR"/>
        </w:rPr>
        <w:t>Sección 1023.10 A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9B78C1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8D77BB" w:rsidRPr="008D77B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46C4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B78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8D77B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77B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46C4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8D77B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01922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A3DD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A3DD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8D77B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8D77BB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A46C46" w:rsidRDefault="008D77BB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8D77BB" w:rsidRPr="008D77B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46C4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46C46" w:rsidRDefault="00A46C46" w:rsidP="00C0192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 Individuo-Crédito por Contribuciones Pagadas a Países Extranjeros, Estados Unidos, sus Territorios y Posesiones</w:t>
      </w:r>
    </w:p>
    <w:p w:rsidR="00A46C46" w:rsidRPr="000A173C" w:rsidRDefault="00A46C46" w:rsidP="00A46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O Individuo-Contribución Básica Alterna</w:t>
      </w:r>
    </w:p>
    <w:p w:rsidR="00A46C46" w:rsidRPr="00013FC9" w:rsidRDefault="008D77BB" w:rsidP="00A46C4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A46C4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46C4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46C46" w:rsidRPr="00013FC9" w:rsidRDefault="00A46C46" w:rsidP="00A46C46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EB2EE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5A3D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FB" w:rsidRDefault="00A87DFB" w:rsidP="005501A9">
      <w:pPr>
        <w:spacing w:after="0" w:line="240" w:lineRule="auto"/>
      </w:pPr>
      <w:r>
        <w:separator/>
      </w:r>
    </w:p>
  </w:endnote>
  <w:endnote w:type="continuationSeparator" w:id="0">
    <w:p w:rsidR="00A87DFB" w:rsidRDefault="00A87DF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BC" w:rsidRDefault="00762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46BBB" w:rsidRPr="009B78C1" w:rsidTr="00D46BB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46BBB" w:rsidRDefault="00D46BB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9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D77BB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8D77BB">
            <w:rPr>
              <w:rFonts w:ascii="Times New Roman" w:hAnsi="Times New Roman"/>
            </w:rPr>
            <w:fldChar w:fldCharType="separate"/>
          </w:r>
          <w:r w:rsidR="009A3BD0" w:rsidRPr="009A3BD0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8D77BB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46BBB" w:rsidRDefault="00D46BB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46BBB" w:rsidRDefault="00D46BB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46BBB" w:rsidRDefault="00D46BB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46BBB" w:rsidRDefault="00D46BB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46BBB" w:rsidRDefault="00D46BBB" w:rsidP="00D46BBB">
    <w:pPr>
      <w:rPr>
        <w:rFonts w:ascii="Times New Roman" w:hAnsi="Times New Roman"/>
        <w:lang w:val="es-PR"/>
      </w:rPr>
    </w:pPr>
  </w:p>
  <w:p w:rsidR="00CF03B8" w:rsidRPr="00D46BBB" w:rsidRDefault="00CF03B8" w:rsidP="00D46BB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BC" w:rsidRDefault="00762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FB" w:rsidRDefault="00A87DFB" w:rsidP="005501A9">
      <w:pPr>
        <w:spacing w:after="0" w:line="240" w:lineRule="auto"/>
      </w:pPr>
      <w:r>
        <w:separator/>
      </w:r>
    </w:p>
  </w:footnote>
  <w:footnote w:type="continuationSeparator" w:id="0">
    <w:p w:rsidR="00A87DFB" w:rsidRDefault="00A87DF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BC" w:rsidRDefault="00762E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01784" w:rsidRPr="009B78C1" w:rsidTr="00FE4533">
      <w:trPr>
        <w:trHeight w:val="288"/>
      </w:trPr>
      <w:tc>
        <w:tcPr>
          <w:tcW w:w="8395" w:type="dxa"/>
        </w:tcPr>
        <w:p w:rsidR="00401784" w:rsidRDefault="00401784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01784" w:rsidRPr="009B78C1" w:rsidRDefault="00401784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B78C1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B78C1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01784" w:rsidRPr="00446DFA" w:rsidRDefault="00401784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401784" w:rsidRPr="004C743D" w:rsidRDefault="009B78C1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Contribución</w:t>
          </w:r>
          <w:r w:rsidR="0040178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Básica</w:t>
          </w:r>
          <w:r w:rsidR="0040178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Alterna y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Contribución</w:t>
          </w:r>
          <w:r w:rsidR="00A46C46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Adicional s</w:t>
          </w:r>
          <w:r w:rsidR="00401784" w:rsidRPr="00401784">
            <w:rPr>
              <w:rFonts w:ascii="Times New Roman" w:hAnsi="Times New Roman"/>
              <w:b/>
              <w:sz w:val="28"/>
              <w:szCs w:val="28"/>
              <w:lang w:val="es-PR"/>
            </w:rPr>
            <w:t>obre I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ngreso Bruto (Patente Nacional</w:t>
          </w:r>
          <w:r w:rsidR="00401784" w:rsidRPr="0040178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401784" w:rsidRPr="00D049E5" w:rsidRDefault="008D77BB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8D77BB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-2.75pt;margin-top:50.85pt;width:82.5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01784" w:rsidRPr="00446DFA" w:rsidRDefault="00401784" w:rsidP="0040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DAC-054</w:t>
                      </w:r>
                    </w:p>
                    <w:p w:rsidR="00401784" w:rsidRPr="002608D6" w:rsidRDefault="00401784" w:rsidP="0040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A46C4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 w:rsidR="009B78C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01784" w:rsidRDefault="00CF03B8" w:rsidP="00401784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BC" w:rsidRDefault="00762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FBC"/>
    <w:multiLevelType w:val="hybridMultilevel"/>
    <w:tmpl w:val="3B603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B4E"/>
    <w:multiLevelType w:val="hybridMultilevel"/>
    <w:tmpl w:val="5C048B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D5BC6"/>
    <w:multiLevelType w:val="hybridMultilevel"/>
    <w:tmpl w:val="982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B40A1"/>
    <w:multiLevelType w:val="hybridMultilevel"/>
    <w:tmpl w:val="5E7C1C88"/>
    <w:lvl w:ilvl="0" w:tplc="842AC7E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B6CA7"/>
    <w:multiLevelType w:val="hybridMultilevel"/>
    <w:tmpl w:val="FD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0"/>
  </w:num>
  <w:num w:numId="5">
    <w:abstractNumId w:val="14"/>
  </w:num>
  <w:num w:numId="6">
    <w:abstractNumId w:val="35"/>
  </w:num>
  <w:num w:numId="7">
    <w:abstractNumId w:val="1"/>
  </w:num>
  <w:num w:numId="8">
    <w:abstractNumId w:val="26"/>
  </w:num>
  <w:num w:numId="9">
    <w:abstractNumId w:val="34"/>
  </w:num>
  <w:num w:numId="10">
    <w:abstractNumId w:val="11"/>
  </w:num>
  <w:num w:numId="11">
    <w:abstractNumId w:val="19"/>
  </w:num>
  <w:num w:numId="12">
    <w:abstractNumId w:val="14"/>
    <w:lvlOverride w:ilvl="0">
      <w:startOverride w:val="1"/>
    </w:lvlOverride>
  </w:num>
  <w:num w:numId="13">
    <w:abstractNumId w:val="10"/>
  </w:num>
  <w:num w:numId="14">
    <w:abstractNumId w:val="16"/>
  </w:num>
  <w:num w:numId="15">
    <w:abstractNumId w:val="24"/>
  </w:num>
  <w:num w:numId="16">
    <w:abstractNumId w:val="36"/>
  </w:num>
  <w:num w:numId="17">
    <w:abstractNumId w:val="32"/>
  </w:num>
  <w:num w:numId="18">
    <w:abstractNumId w:val="33"/>
  </w:num>
  <w:num w:numId="19">
    <w:abstractNumId w:val="22"/>
  </w:num>
  <w:num w:numId="20">
    <w:abstractNumId w:val="27"/>
  </w:num>
  <w:num w:numId="21">
    <w:abstractNumId w:val="7"/>
  </w:num>
  <w:num w:numId="22">
    <w:abstractNumId w:val="12"/>
  </w:num>
  <w:num w:numId="23">
    <w:abstractNumId w:val="13"/>
  </w:num>
  <w:num w:numId="24">
    <w:abstractNumId w:val="25"/>
  </w:num>
  <w:num w:numId="25">
    <w:abstractNumId w:val="18"/>
  </w:num>
  <w:num w:numId="26">
    <w:abstractNumId w:val="3"/>
  </w:num>
  <w:num w:numId="27">
    <w:abstractNumId w:val="21"/>
  </w:num>
  <w:num w:numId="28">
    <w:abstractNumId w:val="9"/>
  </w:num>
  <w:num w:numId="29">
    <w:abstractNumId w:val="2"/>
  </w:num>
  <w:num w:numId="30">
    <w:abstractNumId w:val="15"/>
  </w:num>
  <w:num w:numId="31">
    <w:abstractNumId w:val="8"/>
  </w:num>
  <w:num w:numId="32">
    <w:abstractNumId w:val="37"/>
  </w:num>
  <w:num w:numId="33">
    <w:abstractNumId w:val="20"/>
  </w:num>
  <w:num w:numId="34">
    <w:abstractNumId w:val="17"/>
  </w:num>
  <w:num w:numId="35">
    <w:abstractNumId w:val="4"/>
  </w:num>
  <w:num w:numId="36">
    <w:abstractNumId w:val="23"/>
  </w:num>
  <w:num w:numId="37">
    <w:abstractNumId w:val="30"/>
  </w:num>
  <w:num w:numId="38">
    <w:abstractNumId w:val="5"/>
  </w:num>
  <w:num w:numId="39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27D6C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04E5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73C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4A74"/>
    <w:rsid w:val="001751F7"/>
    <w:rsid w:val="00175C1F"/>
    <w:rsid w:val="00181A79"/>
    <w:rsid w:val="00182153"/>
    <w:rsid w:val="00185F44"/>
    <w:rsid w:val="001860B9"/>
    <w:rsid w:val="00191D71"/>
    <w:rsid w:val="00194922"/>
    <w:rsid w:val="0019665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0C6E"/>
    <w:rsid w:val="00265792"/>
    <w:rsid w:val="0026787D"/>
    <w:rsid w:val="00267DA0"/>
    <w:rsid w:val="002734CB"/>
    <w:rsid w:val="0027646A"/>
    <w:rsid w:val="002770AB"/>
    <w:rsid w:val="00277BF0"/>
    <w:rsid w:val="00277D0E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7378C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1784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77AF0"/>
    <w:rsid w:val="00481623"/>
    <w:rsid w:val="004842B9"/>
    <w:rsid w:val="004847E5"/>
    <w:rsid w:val="00492B06"/>
    <w:rsid w:val="0049324C"/>
    <w:rsid w:val="004979AF"/>
    <w:rsid w:val="00497B37"/>
    <w:rsid w:val="004A0105"/>
    <w:rsid w:val="004A04AB"/>
    <w:rsid w:val="004A3F75"/>
    <w:rsid w:val="004A5AAE"/>
    <w:rsid w:val="004C2D1D"/>
    <w:rsid w:val="004C746A"/>
    <w:rsid w:val="004D1C16"/>
    <w:rsid w:val="004D2A32"/>
    <w:rsid w:val="004D33BF"/>
    <w:rsid w:val="004D3440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77FF7"/>
    <w:rsid w:val="0058498C"/>
    <w:rsid w:val="00590F9C"/>
    <w:rsid w:val="00591CEE"/>
    <w:rsid w:val="0059391F"/>
    <w:rsid w:val="0059790A"/>
    <w:rsid w:val="005A3DD3"/>
    <w:rsid w:val="005B0EA6"/>
    <w:rsid w:val="005B2388"/>
    <w:rsid w:val="005C1B0C"/>
    <w:rsid w:val="005C1D13"/>
    <w:rsid w:val="005C29BF"/>
    <w:rsid w:val="005C33B7"/>
    <w:rsid w:val="005C4845"/>
    <w:rsid w:val="005D2EE9"/>
    <w:rsid w:val="005D39C6"/>
    <w:rsid w:val="005D6FC4"/>
    <w:rsid w:val="005D72CC"/>
    <w:rsid w:val="005E3826"/>
    <w:rsid w:val="005F07EB"/>
    <w:rsid w:val="005F21F7"/>
    <w:rsid w:val="005F3A77"/>
    <w:rsid w:val="005F7447"/>
    <w:rsid w:val="006100F1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4BA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1897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62EBC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60301"/>
    <w:rsid w:val="008766CF"/>
    <w:rsid w:val="00877A45"/>
    <w:rsid w:val="008947B8"/>
    <w:rsid w:val="0089529A"/>
    <w:rsid w:val="008A0367"/>
    <w:rsid w:val="008A56D1"/>
    <w:rsid w:val="008A7694"/>
    <w:rsid w:val="008B7F12"/>
    <w:rsid w:val="008C29E6"/>
    <w:rsid w:val="008C479E"/>
    <w:rsid w:val="008D77BB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87D04"/>
    <w:rsid w:val="009A1E26"/>
    <w:rsid w:val="009A3BD0"/>
    <w:rsid w:val="009B1E80"/>
    <w:rsid w:val="009B26E4"/>
    <w:rsid w:val="009B2C9B"/>
    <w:rsid w:val="009B55F7"/>
    <w:rsid w:val="009B60D4"/>
    <w:rsid w:val="009B78C1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6C46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DFB"/>
    <w:rsid w:val="00A87E54"/>
    <w:rsid w:val="00A902C1"/>
    <w:rsid w:val="00AB0DF3"/>
    <w:rsid w:val="00AB1AE5"/>
    <w:rsid w:val="00AB301F"/>
    <w:rsid w:val="00AB7A80"/>
    <w:rsid w:val="00AC3208"/>
    <w:rsid w:val="00AD1FAC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67ECB"/>
    <w:rsid w:val="00B72330"/>
    <w:rsid w:val="00B80DEA"/>
    <w:rsid w:val="00B829F6"/>
    <w:rsid w:val="00B841AB"/>
    <w:rsid w:val="00B96917"/>
    <w:rsid w:val="00B97614"/>
    <w:rsid w:val="00BA2309"/>
    <w:rsid w:val="00BA3D48"/>
    <w:rsid w:val="00BA489D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1922"/>
    <w:rsid w:val="00C0535D"/>
    <w:rsid w:val="00C06C45"/>
    <w:rsid w:val="00C133B5"/>
    <w:rsid w:val="00C13757"/>
    <w:rsid w:val="00C14966"/>
    <w:rsid w:val="00C2088F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6BBB"/>
    <w:rsid w:val="00D57B36"/>
    <w:rsid w:val="00D648C6"/>
    <w:rsid w:val="00D7198C"/>
    <w:rsid w:val="00D72227"/>
    <w:rsid w:val="00D7510D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2C9F"/>
    <w:rsid w:val="00E8314F"/>
    <w:rsid w:val="00E94C68"/>
    <w:rsid w:val="00EA046F"/>
    <w:rsid w:val="00EA4951"/>
    <w:rsid w:val="00EB10E1"/>
    <w:rsid w:val="00EB2605"/>
    <w:rsid w:val="00EB2EEC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EF588E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96AA1"/>
    <w:rsid w:val="00FA2219"/>
    <w:rsid w:val="00FA3431"/>
    <w:rsid w:val="00FB373F"/>
    <w:rsid w:val="00FB479D"/>
    <w:rsid w:val="00FC5C72"/>
    <w:rsid w:val="00FD084F"/>
    <w:rsid w:val="00FD1362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C46FD40-4478-4A5C-8F36-17A246E107C8}"/>
</file>

<file path=customXml/itemProps2.xml><?xml version="1.0" encoding="utf-8"?>
<ds:datastoreItem xmlns:ds="http://schemas.openxmlformats.org/officeDocument/2006/customXml" ds:itemID="{8DF5D9F3-ED29-45C2-B3DA-FDF2A929E51D}"/>
</file>

<file path=customXml/itemProps3.xml><?xml version="1.0" encoding="utf-8"?>
<ds:datastoreItem xmlns:ds="http://schemas.openxmlformats.org/officeDocument/2006/customXml" ds:itemID="{561C157E-5178-485C-9510-2CCA49783C0C}"/>
</file>

<file path=customXml/itemProps4.xml><?xml version="1.0" encoding="utf-8"?>
<ds:datastoreItem xmlns:ds="http://schemas.openxmlformats.org/officeDocument/2006/customXml" ds:itemID="{58732074-B4D0-4D2B-9272-3AA7046E785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1167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Basica Alterna y Contribucion Adicional sobre Ingreso Bruto (Patente Nacional)</dc:title>
  <dc:subject>Referido</dc:subject>
  <dc:creator>Edgar R Rivera Cruz</dc:creator>
  <cp:keywords>DAC</cp:keywords>
  <cp:lastModifiedBy>jtb3509</cp:lastModifiedBy>
  <cp:revision>66</cp:revision>
  <cp:lastPrinted>2015-08-24T19:29:00Z</cp:lastPrinted>
  <dcterms:created xsi:type="dcterms:W3CDTF">2015-06-02T14:44:00Z</dcterms:created>
  <dcterms:modified xsi:type="dcterms:W3CDTF">2015-08-24T19:29:00Z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