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D35CD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257E0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D16280" w:rsidRDefault="00D16280" w:rsidP="00192FFD">
      <w:pPr>
        <w:pStyle w:val="ListParagraph"/>
        <w:numPr>
          <w:ilvl w:val="0"/>
          <w:numId w:val="17"/>
        </w:numPr>
        <w:spacing w:before="120"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r w:rsidRPr="00D16280">
        <w:rPr>
          <w:rFonts w:ascii="Times New Roman" w:hAnsi="Times New Roman"/>
          <w:sz w:val="24"/>
          <w:szCs w:val="24"/>
          <w:lang w:val="es-PR"/>
        </w:rPr>
        <w:t>Para el año contributivo 2014, un individuo cuya fuente pri</w:t>
      </w:r>
      <w:r>
        <w:rPr>
          <w:rFonts w:ascii="Times New Roman" w:hAnsi="Times New Roman"/>
          <w:sz w:val="24"/>
          <w:szCs w:val="24"/>
          <w:lang w:val="es-PR"/>
        </w:rPr>
        <w:t>ncipal de ingresos consiste de:</w:t>
      </w:r>
    </w:p>
    <w:p w:rsidR="00D16280" w:rsidRPr="00D16280" w:rsidRDefault="008C7152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</w:rPr>
        <w:t>salarios,</w:t>
      </w:r>
      <w:r w:rsidR="00D16280" w:rsidRPr="00D16280">
        <w:rPr>
          <w:rFonts w:ascii="Times New Roman" w:hAnsi="Times New Roman"/>
          <w:sz w:val="24"/>
          <w:szCs w:val="24"/>
        </w:rPr>
        <w:t xml:space="preserve"> </w:t>
      </w:r>
    </w:p>
    <w:p w:rsidR="00D16280" w:rsidRPr="00D16280" w:rsidRDefault="008C7152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</w:rPr>
        <w:t>comisiones,</w:t>
      </w:r>
      <w:r w:rsidR="00D16280" w:rsidRPr="00D16280">
        <w:rPr>
          <w:rFonts w:ascii="Times New Roman" w:hAnsi="Times New Roman"/>
          <w:sz w:val="24"/>
          <w:szCs w:val="24"/>
        </w:rPr>
        <w:t xml:space="preserve"> </w:t>
      </w:r>
    </w:p>
    <w:p w:rsidR="00D16280" w:rsidRPr="00D16280" w:rsidRDefault="008C7152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</w:rPr>
        <w:t>concesiones,</w:t>
      </w:r>
    </w:p>
    <w:p w:rsidR="00D16280" w:rsidRPr="00D16280" w:rsidRDefault="008C7152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</w:rPr>
        <w:t>propinas,</w:t>
      </w:r>
      <w:r w:rsidR="00D16280" w:rsidRPr="00D16280">
        <w:rPr>
          <w:rFonts w:ascii="Times New Roman" w:hAnsi="Times New Roman"/>
          <w:sz w:val="24"/>
          <w:szCs w:val="24"/>
        </w:rPr>
        <w:t xml:space="preserve"> </w:t>
      </w:r>
    </w:p>
    <w:p w:rsidR="00D16280" w:rsidRDefault="00D16280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D16280">
        <w:rPr>
          <w:rFonts w:ascii="Times New Roman" w:hAnsi="Times New Roman"/>
          <w:sz w:val="24"/>
          <w:szCs w:val="24"/>
          <w:lang w:val="es-PR"/>
        </w:rPr>
        <w:t>ingr</w:t>
      </w:r>
      <w:r w:rsidR="008C7152">
        <w:rPr>
          <w:rFonts w:ascii="Times New Roman" w:hAnsi="Times New Roman"/>
          <w:sz w:val="24"/>
          <w:szCs w:val="24"/>
          <w:lang w:val="es-PR"/>
        </w:rPr>
        <w:t>esos de anualidades y pensiones,</w:t>
      </w:r>
      <w:r w:rsidRPr="00D16280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D16280" w:rsidRPr="00D16280" w:rsidRDefault="008C7152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</w:rPr>
        <w:t>servicios profesionales (neto),</w:t>
      </w:r>
      <w:r w:rsidR="00D16280" w:rsidRPr="00D16280">
        <w:rPr>
          <w:rFonts w:ascii="Times New Roman" w:hAnsi="Times New Roman"/>
          <w:sz w:val="24"/>
          <w:szCs w:val="24"/>
        </w:rPr>
        <w:t xml:space="preserve"> </w:t>
      </w:r>
    </w:p>
    <w:p w:rsidR="00D16280" w:rsidRDefault="00D16280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D16280">
        <w:rPr>
          <w:rFonts w:ascii="Times New Roman" w:hAnsi="Times New Roman"/>
          <w:sz w:val="24"/>
          <w:szCs w:val="24"/>
          <w:lang w:val="es-PR"/>
        </w:rPr>
        <w:t>n</w:t>
      </w:r>
      <w:r w:rsidR="008C7152">
        <w:rPr>
          <w:rFonts w:ascii="Times New Roman" w:hAnsi="Times New Roman"/>
          <w:sz w:val="24"/>
          <w:szCs w:val="24"/>
          <w:lang w:val="es-PR"/>
        </w:rPr>
        <w:t>egocio por cuenta propia (neto),</w:t>
      </w:r>
      <w:r w:rsidRPr="00D16280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D16280" w:rsidRDefault="00D16280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D16280">
        <w:rPr>
          <w:rFonts w:ascii="Times New Roman" w:hAnsi="Times New Roman"/>
          <w:sz w:val="24"/>
          <w:szCs w:val="24"/>
          <w:lang w:val="es-PR"/>
        </w:rPr>
        <w:t>ganancia en la venta de propiedad que no constituye inventario (ganancia de capital)</w:t>
      </w:r>
      <w:r w:rsidR="004E51C9">
        <w:rPr>
          <w:rFonts w:ascii="Times New Roman" w:hAnsi="Times New Roman"/>
          <w:sz w:val="24"/>
          <w:szCs w:val="24"/>
          <w:lang w:val="es-PR"/>
        </w:rPr>
        <w:t>,</w:t>
      </w:r>
      <w:r w:rsidRPr="00D16280">
        <w:rPr>
          <w:rFonts w:ascii="Times New Roman" w:hAnsi="Times New Roman"/>
          <w:sz w:val="24"/>
          <w:szCs w:val="24"/>
          <w:lang w:val="es-PR"/>
        </w:rPr>
        <w:t xml:space="preserve"> y</w:t>
      </w:r>
      <w:r w:rsidR="004E51C9">
        <w:rPr>
          <w:rFonts w:ascii="Times New Roman" w:hAnsi="Times New Roman"/>
          <w:sz w:val="24"/>
          <w:szCs w:val="24"/>
          <w:lang w:val="es-PR"/>
        </w:rPr>
        <w:t>;</w:t>
      </w:r>
      <w:r w:rsidRPr="00D16280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D16280" w:rsidRDefault="00D16280" w:rsidP="00D16280">
      <w:pPr>
        <w:pStyle w:val="ListParagraph"/>
        <w:numPr>
          <w:ilvl w:val="1"/>
          <w:numId w:val="1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D16280">
        <w:rPr>
          <w:rFonts w:ascii="Times New Roman" w:hAnsi="Times New Roman"/>
          <w:sz w:val="24"/>
          <w:szCs w:val="24"/>
          <w:lang w:val="es-PR"/>
        </w:rPr>
        <w:t>pensiones por razón de di</w:t>
      </w:r>
      <w:r>
        <w:rPr>
          <w:rFonts w:ascii="Times New Roman" w:hAnsi="Times New Roman"/>
          <w:sz w:val="24"/>
          <w:szCs w:val="24"/>
          <w:lang w:val="es-PR"/>
        </w:rPr>
        <w:t>vorcio o separación (“alimony”);</w:t>
      </w:r>
    </w:p>
    <w:p w:rsidR="00D16280" w:rsidRPr="00D16280" w:rsidRDefault="00D16280" w:rsidP="00D16280">
      <w:pPr>
        <w:pStyle w:val="ListParagraph"/>
        <w:spacing w:before="120"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5215D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D35CD7" w:rsidP="00F3589A">
            <w:pPr>
              <w:pStyle w:val="NormalWeb"/>
              <w:rPr>
                <w:color w:val="000000"/>
                <w:lang w:val="es-PR"/>
              </w:rPr>
            </w:pPr>
            <w:r w:rsidRPr="00D35CD7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257E03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257E03" w:rsidRDefault="0089529A" w:rsidP="00192FFD">
      <w:pPr>
        <w:pStyle w:val="ListParagraph"/>
        <w:numPr>
          <w:ilvl w:val="0"/>
          <w:numId w:val="1"/>
        </w:numPr>
        <w:tabs>
          <w:tab w:val="left" w:pos="900"/>
        </w:tabs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257E03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8C7152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D35CD7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35CD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192FF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257E0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ocumentos </w:t>
            </w:r>
            <w:r w:rsidR="00257E0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192FFD" w:rsidRPr="00D16280" w:rsidRDefault="00192FFD" w:rsidP="00192FF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El individuo p</w:t>
      </w:r>
      <w:r w:rsidRPr="00D16280">
        <w:rPr>
          <w:rFonts w:ascii="Times New Roman" w:hAnsi="Times New Roman"/>
          <w:sz w:val="24"/>
          <w:szCs w:val="24"/>
          <w:lang w:val="es-PR"/>
        </w:rPr>
        <w:t xml:space="preserve">odrá tomar una deducción especial de </w:t>
      </w:r>
      <w:r w:rsidRPr="00D16280">
        <w:rPr>
          <w:rFonts w:ascii="Times New Roman" w:hAnsi="Times New Roman"/>
          <w:b/>
          <w:sz w:val="24"/>
          <w:szCs w:val="24"/>
          <w:lang w:val="es-PR"/>
        </w:rPr>
        <w:t>$2,350</w:t>
      </w:r>
      <w:r w:rsidRPr="00D16280">
        <w:rPr>
          <w:rFonts w:ascii="Times New Roman" w:hAnsi="Times New Roman"/>
          <w:sz w:val="24"/>
          <w:szCs w:val="24"/>
          <w:lang w:val="es-PR"/>
        </w:rPr>
        <w:t xml:space="preserve">, si el total de ingreso bruto ajustado más ingresos exentos recibidos no excede de $20,000.  </w:t>
      </w:r>
    </w:p>
    <w:p w:rsidR="00D16280" w:rsidRDefault="00D16280" w:rsidP="00D16280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D16280">
        <w:rPr>
          <w:rFonts w:ascii="Times New Roman" w:hAnsi="Times New Roman"/>
          <w:sz w:val="24"/>
          <w:szCs w:val="24"/>
          <w:lang w:val="es-PR"/>
        </w:rPr>
        <w:t xml:space="preserve">En el caso de cónyuges casados, que ambos trabajen, que rindan planilla conjunta y </w:t>
      </w:r>
      <w:r w:rsidRPr="00D16280">
        <w:rPr>
          <w:rFonts w:ascii="Times New Roman" w:hAnsi="Times New Roman"/>
          <w:bCs/>
          <w:sz w:val="24"/>
          <w:szCs w:val="24"/>
          <w:lang w:val="es-PR"/>
        </w:rPr>
        <w:t>que elijan el cómputo opcional de la contribución</w:t>
      </w:r>
      <w:r w:rsidRPr="00D16280">
        <w:rPr>
          <w:rFonts w:ascii="Times New Roman" w:hAnsi="Times New Roman"/>
          <w:sz w:val="24"/>
          <w:szCs w:val="24"/>
          <w:lang w:val="es-PR"/>
        </w:rPr>
        <w:t xml:space="preserve">, la deducción estará disponible para cada uno de los cónyuges individualmente. </w:t>
      </w:r>
    </w:p>
    <w:p w:rsidR="00192FFD" w:rsidRPr="00DE3D49" w:rsidRDefault="00D16280" w:rsidP="00192FFD">
      <w:pPr>
        <w:pStyle w:val="ListParagraph"/>
        <w:numPr>
          <w:ilvl w:val="0"/>
          <w:numId w:val="1"/>
        </w:numPr>
        <w:spacing w:before="120" w:after="120"/>
        <w:ind w:left="907"/>
        <w:rPr>
          <w:rFonts w:ascii="Times New Roman" w:hAnsi="Times New Roman"/>
          <w:sz w:val="24"/>
          <w:szCs w:val="24"/>
          <w:lang w:val="es-PR"/>
        </w:rPr>
      </w:pPr>
      <w:r w:rsidRPr="00D16280">
        <w:rPr>
          <w:rFonts w:ascii="Times New Roman" w:hAnsi="Times New Roman"/>
          <w:sz w:val="24"/>
          <w:szCs w:val="24"/>
          <w:lang w:val="es-PR"/>
        </w:rPr>
        <w:t xml:space="preserve">Si dicha cantidad excede de $20,000, la deducción </w:t>
      </w:r>
      <w:r>
        <w:rPr>
          <w:rFonts w:ascii="Times New Roman" w:hAnsi="Times New Roman"/>
          <w:sz w:val="24"/>
          <w:szCs w:val="24"/>
          <w:lang w:val="es-PR"/>
        </w:rPr>
        <w:t>que se admita</w:t>
      </w:r>
      <w:r w:rsidRPr="00D16280">
        <w:rPr>
          <w:rFonts w:ascii="Times New Roman" w:hAnsi="Times New Roman"/>
          <w:sz w:val="24"/>
          <w:szCs w:val="24"/>
          <w:lang w:val="es-PR"/>
        </w:rPr>
        <w:t xml:space="preserve"> se reducirá por 12.5 centavos por cada dólar en exceso de $20,000 hasta llegar a cero. Esta deducción no podrá reducir el ingreso neto a menos de cero. Por lo tanto, si el ingreso bruto ajustado e ingresos exentos recibidos por el contribuyente totaliza $38,800 o más, éste no tendrá derecho a esta deducción</w:t>
      </w:r>
      <w:r w:rsidR="00DE3D49">
        <w:rPr>
          <w:rFonts w:ascii="Times New Roman" w:hAnsi="Times New Roman"/>
          <w:sz w:val="24"/>
          <w:szCs w:val="24"/>
          <w:lang w:val="es-PR"/>
        </w:rPr>
        <w:t>.</w:t>
      </w:r>
    </w:p>
    <w:tbl>
      <w:tblPr>
        <w:tblStyle w:val="MediumGrid1-Accent5"/>
        <w:tblpPr w:leftFromText="180" w:rightFromText="180" w:vertAnchor="text" w:horzAnchor="margin" w:tblpXSpec="center" w:tblpY="43"/>
        <w:tblW w:w="8419" w:type="dxa"/>
        <w:tblLook w:val="04A0"/>
      </w:tblPr>
      <w:tblGrid>
        <w:gridCol w:w="4687"/>
        <w:gridCol w:w="933"/>
        <w:gridCol w:w="933"/>
        <w:gridCol w:w="933"/>
        <w:gridCol w:w="933"/>
      </w:tblGrid>
      <w:tr w:rsidR="00971258" w:rsidRPr="008C7152" w:rsidTr="00DE3D49">
        <w:trPr>
          <w:cnfStyle w:val="100000000000"/>
          <w:trHeight w:val="89"/>
        </w:trPr>
        <w:tc>
          <w:tcPr>
            <w:cnfStyle w:val="001000000000"/>
            <w:tcW w:w="0" w:type="auto"/>
            <w:gridSpan w:val="5"/>
            <w:shd w:val="clear" w:color="auto" w:fill="548DD4" w:themeFill="text2" w:themeFillTint="99"/>
          </w:tcPr>
          <w:p w:rsidR="00971258" w:rsidRPr="00DE3D49" w:rsidRDefault="00971258" w:rsidP="00DE3D4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DE3D49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Resumen de la Deducción Especial admisible por año contributivo</w:t>
            </w:r>
          </w:p>
        </w:tc>
      </w:tr>
      <w:tr w:rsidR="00971258" w:rsidRPr="00D16280" w:rsidTr="00DE3D49">
        <w:trPr>
          <w:cnfStyle w:val="000000100000"/>
          <w:trHeight w:val="89"/>
        </w:trPr>
        <w:tc>
          <w:tcPr>
            <w:cnfStyle w:val="001000000000"/>
            <w:tcW w:w="0" w:type="auto"/>
            <w:shd w:val="clear" w:color="auto" w:fill="8DB3E2" w:themeFill="text2" w:themeFillTint="66"/>
          </w:tcPr>
          <w:p w:rsidR="00D16280" w:rsidRPr="00D16280" w:rsidRDefault="00D16280" w:rsidP="00F152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16280">
              <w:rPr>
                <w:rFonts w:ascii="Times New Roman" w:hAnsi="Times New Roman"/>
                <w:b w:val="0"/>
                <w:sz w:val="24"/>
                <w:szCs w:val="24"/>
              </w:rPr>
              <w:t>Año</w:t>
            </w:r>
            <w:proofErr w:type="spellEnd"/>
            <w:r w:rsidRPr="00D1628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6280">
              <w:rPr>
                <w:rFonts w:ascii="Times New Roman" w:hAnsi="Times New Roman"/>
                <w:b w:val="0"/>
                <w:sz w:val="24"/>
                <w:szCs w:val="24"/>
              </w:rPr>
              <w:t>Contributivo</w:t>
            </w:r>
            <w:proofErr w:type="spellEnd"/>
          </w:p>
        </w:tc>
        <w:tc>
          <w:tcPr>
            <w:tcW w:w="0" w:type="auto"/>
            <w:shd w:val="clear" w:color="auto" w:fill="8DB3E2" w:themeFill="text2" w:themeFillTint="66"/>
          </w:tcPr>
          <w:p w:rsidR="00D16280" w:rsidRPr="00D16280" w:rsidRDefault="00D16280" w:rsidP="00F152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280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16280" w:rsidRPr="00D16280" w:rsidRDefault="00D16280" w:rsidP="00F152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628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16280" w:rsidRPr="009F1092" w:rsidRDefault="00D16280" w:rsidP="00F152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F109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16280" w:rsidRPr="00ED400A" w:rsidRDefault="00D16280" w:rsidP="00F152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D400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971258" w:rsidRPr="00D16280" w:rsidTr="00DE3D49">
        <w:trPr>
          <w:trHeight w:val="158"/>
        </w:trPr>
        <w:tc>
          <w:tcPr>
            <w:cnfStyle w:val="001000000000"/>
            <w:tcW w:w="0" w:type="auto"/>
          </w:tcPr>
          <w:p w:rsidR="00D16280" w:rsidRPr="00D16280" w:rsidRDefault="00D16280" w:rsidP="00192F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6280">
              <w:rPr>
                <w:rFonts w:ascii="Times New Roman" w:hAnsi="Times New Roman"/>
                <w:b w:val="0"/>
                <w:sz w:val="24"/>
                <w:szCs w:val="24"/>
              </w:rPr>
              <w:t>Deducción Admisible</w:t>
            </w:r>
          </w:p>
        </w:tc>
        <w:tc>
          <w:tcPr>
            <w:tcW w:w="0" w:type="auto"/>
          </w:tcPr>
          <w:p w:rsidR="00D16280" w:rsidRPr="00D16280" w:rsidRDefault="00D16280" w:rsidP="00F1526E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16280">
              <w:rPr>
                <w:rFonts w:ascii="Times New Roman" w:hAnsi="Times New Roman"/>
                <w:sz w:val="24"/>
                <w:szCs w:val="24"/>
              </w:rPr>
              <w:t>$9,350</w:t>
            </w:r>
          </w:p>
        </w:tc>
        <w:tc>
          <w:tcPr>
            <w:tcW w:w="0" w:type="auto"/>
          </w:tcPr>
          <w:p w:rsidR="00D16280" w:rsidRPr="00D16280" w:rsidRDefault="00D16280" w:rsidP="00F1526E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16280">
              <w:rPr>
                <w:rFonts w:ascii="Times New Roman" w:hAnsi="Times New Roman"/>
                <w:sz w:val="24"/>
                <w:szCs w:val="24"/>
              </w:rPr>
              <w:t>$7,850</w:t>
            </w:r>
          </w:p>
        </w:tc>
        <w:tc>
          <w:tcPr>
            <w:tcW w:w="0" w:type="auto"/>
          </w:tcPr>
          <w:p w:rsidR="00D16280" w:rsidRPr="00D16280" w:rsidRDefault="00D16280" w:rsidP="00F1526E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16280">
              <w:rPr>
                <w:rFonts w:ascii="Times New Roman" w:hAnsi="Times New Roman"/>
                <w:sz w:val="24"/>
                <w:szCs w:val="24"/>
              </w:rPr>
              <w:t>$5,350</w:t>
            </w:r>
          </w:p>
        </w:tc>
        <w:tc>
          <w:tcPr>
            <w:tcW w:w="0" w:type="auto"/>
          </w:tcPr>
          <w:p w:rsidR="00D16280" w:rsidRPr="00ED400A" w:rsidRDefault="00D16280" w:rsidP="00F1526E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ED400A">
              <w:rPr>
                <w:rFonts w:ascii="Times New Roman" w:hAnsi="Times New Roman"/>
                <w:sz w:val="24"/>
                <w:szCs w:val="24"/>
              </w:rPr>
              <w:t>$2,350</w:t>
            </w:r>
          </w:p>
        </w:tc>
      </w:tr>
      <w:tr w:rsidR="00B322F2" w:rsidRPr="00D16280" w:rsidTr="00DE3D49">
        <w:trPr>
          <w:cnfStyle w:val="000000100000"/>
          <w:trHeight w:val="35"/>
        </w:trPr>
        <w:tc>
          <w:tcPr>
            <w:cnfStyle w:val="001000000000"/>
            <w:tcW w:w="0" w:type="auto"/>
          </w:tcPr>
          <w:p w:rsidR="00B322F2" w:rsidRPr="00D16280" w:rsidRDefault="009F1092" w:rsidP="00192FF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D16280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Ajuste por cada dólar en exceso de $20,000</w:t>
            </w:r>
          </w:p>
        </w:tc>
        <w:tc>
          <w:tcPr>
            <w:tcW w:w="0" w:type="auto"/>
          </w:tcPr>
          <w:p w:rsidR="00B322F2" w:rsidRPr="00D16280" w:rsidRDefault="00B322F2" w:rsidP="00B322F2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16280">
              <w:rPr>
                <w:rFonts w:ascii="Times New Roman" w:hAnsi="Times New Roman"/>
                <w:sz w:val="24"/>
                <w:szCs w:val="24"/>
              </w:rPr>
              <w:t>¢</w:t>
            </w:r>
          </w:p>
        </w:tc>
        <w:tc>
          <w:tcPr>
            <w:tcW w:w="0" w:type="auto"/>
          </w:tcPr>
          <w:p w:rsidR="00B322F2" w:rsidRPr="00D16280" w:rsidRDefault="00B322F2" w:rsidP="00F152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D16280">
              <w:rPr>
                <w:rFonts w:ascii="Times New Roman" w:hAnsi="Times New Roman"/>
                <w:sz w:val="24"/>
                <w:szCs w:val="24"/>
              </w:rPr>
              <w:t>¢</w:t>
            </w:r>
          </w:p>
        </w:tc>
        <w:tc>
          <w:tcPr>
            <w:tcW w:w="0" w:type="auto"/>
          </w:tcPr>
          <w:p w:rsidR="00B322F2" w:rsidRPr="00D16280" w:rsidRDefault="00B322F2" w:rsidP="00F152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28.5</w:t>
            </w:r>
            <w:r w:rsidRPr="00D16280">
              <w:rPr>
                <w:rFonts w:ascii="Times New Roman" w:hAnsi="Times New Roman"/>
                <w:sz w:val="24"/>
                <w:szCs w:val="24"/>
              </w:rPr>
              <w:t>¢</w:t>
            </w:r>
          </w:p>
        </w:tc>
        <w:tc>
          <w:tcPr>
            <w:tcW w:w="0" w:type="auto"/>
          </w:tcPr>
          <w:p w:rsidR="00B322F2" w:rsidRPr="00ED400A" w:rsidRDefault="00B322F2" w:rsidP="00F152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D400A">
              <w:rPr>
                <w:rFonts w:ascii="Times New Roman" w:hAnsi="Times New Roman"/>
                <w:sz w:val="24"/>
                <w:szCs w:val="24"/>
              </w:rPr>
              <w:t>12.5¢</w:t>
            </w:r>
          </w:p>
        </w:tc>
      </w:tr>
    </w:tbl>
    <w:p w:rsidR="00D16280" w:rsidRPr="00D16280" w:rsidRDefault="00D16280" w:rsidP="00DE3D49">
      <w:pPr>
        <w:pStyle w:val="ListParagraph"/>
        <w:spacing w:line="120" w:lineRule="exact"/>
        <w:ind w:left="994"/>
        <w:rPr>
          <w:rFonts w:ascii="Times New Roman" w:hAnsi="Times New Roman"/>
          <w:b/>
          <w:sz w:val="24"/>
          <w:szCs w:val="24"/>
        </w:rPr>
      </w:pPr>
    </w:p>
    <w:p w:rsidR="004E51C9" w:rsidRDefault="00D16280" w:rsidP="004E51C9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bookmarkStart w:id="0" w:name="_Toc413134690"/>
      <w:r w:rsidRPr="004E51C9">
        <w:rPr>
          <w:rFonts w:ascii="Times New Roman" w:hAnsi="Times New Roman"/>
          <w:b/>
          <w:sz w:val="24"/>
          <w:szCs w:val="24"/>
        </w:rPr>
        <w:lastRenderedPageBreak/>
        <w:t>Limitación de la deducción</w:t>
      </w:r>
      <w:bookmarkEnd w:id="0"/>
    </w:p>
    <w:p w:rsidR="004E51C9" w:rsidRPr="004E51C9" w:rsidRDefault="00D16280" w:rsidP="004E51C9">
      <w:pPr>
        <w:pStyle w:val="ListParagraph"/>
        <w:numPr>
          <w:ilvl w:val="1"/>
          <w:numId w:val="28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4E51C9">
        <w:rPr>
          <w:rFonts w:ascii="Times New Roman" w:hAnsi="Times New Roman"/>
          <w:bCs/>
          <w:iCs/>
          <w:sz w:val="24"/>
          <w:szCs w:val="24"/>
          <w:lang w:val="es-PR"/>
        </w:rPr>
        <w:t xml:space="preserve">Si el contribuyente devenga otros tipos de ingresos tributables no mencionados anteriormente en exceso de $5,000, no será elegible para esta deducción especial. </w:t>
      </w:r>
      <w:r w:rsidRPr="004E51C9">
        <w:rPr>
          <w:rFonts w:ascii="Times New Roman" w:hAnsi="Times New Roman"/>
          <w:sz w:val="24"/>
          <w:szCs w:val="24"/>
          <w:lang w:val="es-PR"/>
        </w:rPr>
        <w:t xml:space="preserve">Los beneficios de desempleo no son considerados para propósitos del límite de $5,000.  </w:t>
      </w:r>
    </w:p>
    <w:p w:rsidR="00D16280" w:rsidRPr="004E51C9" w:rsidRDefault="00D16280" w:rsidP="004E51C9">
      <w:pPr>
        <w:pStyle w:val="ListParagraph"/>
        <w:numPr>
          <w:ilvl w:val="1"/>
          <w:numId w:val="28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4E51C9">
        <w:rPr>
          <w:rFonts w:ascii="Times New Roman" w:hAnsi="Times New Roman"/>
          <w:sz w:val="24"/>
          <w:szCs w:val="24"/>
          <w:lang w:val="es-PR"/>
        </w:rPr>
        <w:t xml:space="preserve">Para el año contributivo 2014, si es un joven cuya edad fluctúa entre los 16 y 26 años al finalizar el año contributivo y se acogió a la exención de los primeros $40,000 del ingreso bruto por concepto de salarios, servicios prestados y/o trabajo por cuenta propia, no tendrá derecho a reclamar esta deducción.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8C7152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1E2B06">
            <w:pPr>
              <w:spacing w:after="0" w:line="240" w:lineRule="auto"/>
              <w:ind w:left="720" w:hanging="360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257E0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257E0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DE3D49" w:rsidRPr="00EA4951" w:rsidRDefault="00D35CD7" w:rsidP="00DE3D49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DE3D49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DE3D49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DE3D49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4365C3" w:rsidRPr="00B322F2" w:rsidRDefault="00971258" w:rsidP="00971258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1021.03</w:t>
      </w:r>
    </w:p>
    <w:p w:rsidR="00B322F2" w:rsidRPr="004365C3" w:rsidRDefault="00B322F2" w:rsidP="00971258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1033.16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8C7152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D35CD7" w:rsidRPr="00D35CD7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3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257E0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8C7152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D35CD7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35CD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257E0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D35CD7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257E03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DE3D49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DE3D49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D35CD7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D35CD7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DE3D49" w:rsidRPr="00DE3D49" w:rsidRDefault="00D35CD7" w:rsidP="00DE3D4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p w:rsidR="00DE3D49" w:rsidRDefault="00DE3D49" w:rsidP="00DE3D49">
      <w:pPr>
        <w:pStyle w:val="ListParagraph"/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8C7152" w:rsidRPr="00DE3D49" w:rsidRDefault="008C7152" w:rsidP="00DE3D49">
      <w:pPr>
        <w:pStyle w:val="ListParagraph"/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lastRenderedPageBreak/>
              <w:t xml:space="preserve"> </w:t>
            </w:r>
            <w:r w:rsidR="00D35CD7" w:rsidRPr="00D35CD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257E0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257E03" w:rsidRPr="00013FC9" w:rsidRDefault="00D35CD7" w:rsidP="00257E03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257E03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257E0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257E03" w:rsidRPr="00013FC9" w:rsidRDefault="00257E03" w:rsidP="00257E03">
      <w:pPr>
        <w:pStyle w:val="ListParagraph"/>
        <w:numPr>
          <w:ilvl w:val="0"/>
          <w:numId w:val="3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257E03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DE3D4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08" w:rsidRDefault="00923208" w:rsidP="005501A9">
      <w:pPr>
        <w:spacing w:after="0" w:line="240" w:lineRule="auto"/>
      </w:pPr>
      <w:r>
        <w:separator/>
      </w:r>
    </w:p>
  </w:endnote>
  <w:endnote w:type="continuationSeparator" w:id="0">
    <w:p w:rsidR="00923208" w:rsidRDefault="0092320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62" w:rsidRDefault="005D2A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924FB3" w:rsidRPr="008C7152" w:rsidTr="00924FB3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924FB3" w:rsidRDefault="00924FB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35CD7" w:rsidRPr="00DE3D49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E3D49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D35CD7" w:rsidRPr="00DE3D49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D2A62" w:rsidRPr="005D2A62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D35CD7" w:rsidRPr="00DE3D49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924FB3" w:rsidRDefault="00924FB3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924FB3" w:rsidRDefault="00924FB3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924FB3" w:rsidRDefault="00924FB3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924FB3" w:rsidRDefault="00924FB3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924FB3" w:rsidRDefault="00924FB3" w:rsidP="00924FB3">
    <w:pPr>
      <w:rPr>
        <w:rFonts w:ascii="Times New Roman" w:hAnsi="Times New Roman"/>
        <w:lang w:val="es-PR"/>
      </w:rPr>
    </w:pPr>
  </w:p>
  <w:p w:rsidR="00CF03B8" w:rsidRPr="00701CC6" w:rsidRDefault="00CF03B8" w:rsidP="00924FB3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62" w:rsidRDefault="005D2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08" w:rsidRDefault="00923208" w:rsidP="005501A9">
      <w:pPr>
        <w:spacing w:after="0" w:line="240" w:lineRule="auto"/>
      </w:pPr>
      <w:r>
        <w:separator/>
      </w:r>
    </w:p>
  </w:footnote>
  <w:footnote w:type="continuationSeparator" w:id="0">
    <w:p w:rsidR="00923208" w:rsidRDefault="0092320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62" w:rsidRDefault="005D2A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701CC6" w:rsidRPr="008C7152" w:rsidTr="00FE4533">
      <w:trPr>
        <w:trHeight w:val="288"/>
      </w:trPr>
      <w:tc>
        <w:tcPr>
          <w:tcW w:w="8395" w:type="dxa"/>
        </w:tcPr>
        <w:p w:rsidR="00701CC6" w:rsidRDefault="00701CC6" w:rsidP="00FE4533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701CC6" w:rsidRPr="008C7152" w:rsidRDefault="00701CC6" w:rsidP="00FE4533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8C7152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8C7152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701CC6" w:rsidRPr="00446DFA" w:rsidRDefault="00701CC6" w:rsidP="00FE4533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701CC6" w:rsidRPr="00192FFD" w:rsidRDefault="005D2A62" w:rsidP="00701CC6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Deducció</w:t>
          </w:r>
          <w:r w:rsidR="00192FFD" w:rsidRPr="00192FFD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 especial para ciertos i</w:t>
          </w:r>
          <w:r w:rsidR="00701CC6" w:rsidRPr="00192FFD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ndividuos</w:t>
          </w:r>
        </w:p>
      </w:tc>
      <w:tc>
        <w:tcPr>
          <w:tcW w:w="1195" w:type="dxa"/>
        </w:tcPr>
        <w:p w:rsidR="00701CC6" w:rsidRPr="00D049E5" w:rsidRDefault="00D35CD7" w:rsidP="00FE453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D35CD7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1.1pt;width:83.25pt;height:25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701CC6" w:rsidRPr="00446DFA" w:rsidRDefault="00701CC6" w:rsidP="00701C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DAC-048</w:t>
                      </w:r>
                    </w:p>
                    <w:p w:rsidR="00701CC6" w:rsidRPr="002608D6" w:rsidRDefault="00701CC6" w:rsidP="00701C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8C7152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701CC6" w:rsidRDefault="00CF03B8" w:rsidP="00701CC6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62" w:rsidRDefault="005D2A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2B4E"/>
    <w:multiLevelType w:val="hybridMultilevel"/>
    <w:tmpl w:val="FA68F0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C301F"/>
    <w:multiLevelType w:val="hybridMultilevel"/>
    <w:tmpl w:val="1A8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0"/>
  </w:num>
  <w:num w:numId="5">
    <w:abstractNumId w:val="11"/>
  </w:num>
  <w:num w:numId="6">
    <w:abstractNumId w:val="27"/>
  </w:num>
  <w:num w:numId="7">
    <w:abstractNumId w:val="1"/>
  </w:num>
  <w:num w:numId="8">
    <w:abstractNumId w:val="19"/>
  </w:num>
  <w:num w:numId="9">
    <w:abstractNumId w:val="26"/>
  </w:num>
  <w:num w:numId="10">
    <w:abstractNumId w:val="8"/>
  </w:num>
  <w:num w:numId="11">
    <w:abstractNumId w:val="14"/>
  </w:num>
  <w:num w:numId="12">
    <w:abstractNumId w:val="11"/>
    <w:lvlOverride w:ilvl="0">
      <w:startOverride w:val="1"/>
    </w:lvlOverride>
  </w:num>
  <w:num w:numId="13">
    <w:abstractNumId w:val="7"/>
  </w:num>
  <w:num w:numId="14">
    <w:abstractNumId w:val="12"/>
  </w:num>
  <w:num w:numId="15">
    <w:abstractNumId w:val="17"/>
  </w:num>
  <w:num w:numId="16">
    <w:abstractNumId w:val="28"/>
  </w:num>
  <w:num w:numId="17">
    <w:abstractNumId w:val="24"/>
  </w:num>
  <w:num w:numId="18">
    <w:abstractNumId w:val="25"/>
  </w:num>
  <w:num w:numId="19">
    <w:abstractNumId w:val="16"/>
  </w:num>
  <w:num w:numId="20">
    <w:abstractNumId w:val="20"/>
  </w:num>
  <w:num w:numId="21">
    <w:abstractNumId w:val="5"/>
  </w:num>
  <w:num w:numId="22">
    <w:abstractNumId w:val="9"/>
  </w:num>
  <w:num w:numId="23">
    <w:abstractNumId w:val="10"/>
  </w:num>
  <w:num w:numId="24">
    <w:abstractNumId w:val="18"/>
  </w:num>
  <w:num w:numId="25">
    <w:abstractNumId w:val="13"/>
  </w:num>
  <w:num w:numId="26">
    <w:abstractNumId w:val="2"/>
  </w:num>
  <w:num w:numId="27">
    <w:abstractNumId w:val="15"/>
  </w:num>
  <w:num w:numId="28">
    <w:abstractNumId w:val="6"/>
  </w:num>
  <w:num w:numId="29">
    <w:abstractNumId w:val="3"/>
  </w:num>
  <w:num w:numId="30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2FFD"/>
    <w:rsid w:val="00194922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57E03"/>
    <w:rsid w:val="002608D6"/>
    <w:rsid w:val="00265792"/>
    <w:rsid w:val="0026787D"/>
    <w:rsid w:val="00267DA0"/>
    <w:rsid w:val="002734CB"/>
    <w:rsid w:val="0027646A"/>
    <w:rsid w:val="002770AB"/>
    <w:rsid w:val="00277BF0"/>
    <w:rsid w:val="00285FF6"/>
    <w:rsid w:val="002908E3"/>
    <w:rsid w:val="002930C8"/>
    <w:rsid w:val="002A7ACF"/>
    <w:rsid w:val="002B5156"/>
    <w:rsid w:val="002C1753"/>
    <w:rsid w:val="002C67C1"/>
    <w:rsid w:val="002D015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54C"/>
    <w:rsid w:val="00332FD2"/>
    <w:rsid w:val="0033698E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6620"/>
    <w:rsid w:val="003A7310"/>
    <w:rsid w:val="003B39A0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41F6"/>
    <w:rsid w:val="00424D18"/>
    <w:rsid w:val="0043005F"/>
    <w:rsid w:val="00431B7D"/>
    <w:rsid w:val="00434497"/>
    <w:rsid w:val="004365C3"/>
    <w:rsid w:val="0043749A"/>
    <w:rsid w:val="00440FD7"/>
    <w:rsid w:val="00445105"/>
    <w:rsid w:val="0044723A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E51C9"/>
    <w:rsid w:val="004E5E0F"/>
    <w:rsid w:val="004F0386"/>
    <w:rsid w:val="004F4209"/>
    <w:rsid w:val="004F7E61"/>
    <w:rsid w:val="00506097"/>
    <w:rsid w:val="005115C4"/>
    <w:rsid w:val="005215DF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C4845"/>
    <w:rsid w:val="005D2A62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2BDD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7FAE"/>
    <w:rsid w:val="00701CC6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63E"/>
    <w:rsid w:val="00781E56"/>
    <w:rsid w:val="007833DA"/>
    <w:rsid w:val="00787F13"/>
    <w:rsid w:val="00790A6E"/>
    <w:rsid w:val="00793C85"/>
    <w:rsid w:val="0079658A"/>
    <w:rsid w:val="007A2EBC"/>
    <w:rsid w:val="007B1C6B"/>
    <w:rsid w:val="007B3032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C7152"/>
    <w:rsid w:val="008E0ADE"/>
    <w:rsid w:val="008E7544"/>
    <w:rsid w:val="008F06F7"/>
    <w:rsid w:val="008F34D6"/>
    <w:rsid w:val="008F3E64"/>
    <w:rsid w:val="00910C7A"/>
    <w:rsid w:val="00910F3B"/>
    <w:rsid w:val="009160E0"/>
    <w:rsid w:val="00916D37"/>
    <w:rsid w:val="00917173"/>
    <w:rsid w:val="009177F5"/>
    <w:rsid w:val="009178A8"/>
    <w:rsid w:val="00920F3A"/>
    <w:rsid w:val="00923208"/>
    <w:rsid w:val="00924F05"/>
    <w:rsid w:val="00924FB3"/>
    <w:rsid w:val="00933418"/>
    <w:rsid w:val="00934BD4"/>
    <w:rsid w:val="0093666D"/>
    <w:rsid w:val="00951825"/>
    <w:rsid w:val="00953728"/>
    <w:rsid w:val="00953C5A"/>
    <w:rsid w:val="0096140B"/>
    <w:rsid w:val="00963FB9"/>
    <w:rsid w:val="00971258"/>
    <w:rsid w:val="0097559D"/>
    <w:rsid w:val="00976767"/>
    <w:rsid w:val="00980E7B"/>
    <w:rsid w:val="00982DEA"/>
    <w:rsid w:val="00983F08"/>
    <w:rsid w:val="00985EC6"/>
    <w:rsid w:val="009A1E26"/>
    <w:rsid w:val="009A5157"/>
    <w:rsid w:val="009B1E80"/>
    <w:rsid w:val="009B26E4"/>
    <w:rsid w:val="009B2C9B"/>
    <w:rsid w:val="009B60D4"/>
    <w:rsid w:val="009C3BD1"/>
    <w:rsid w:val="009D4B56"/>
    <w:rsid w:val="009D5454"/>
    <w:rsid w:val="009E10B3"/>
    <w:rsid w:val="009E6F83"/>
    <w:rsid w:val="009F1092"/>
    <w:rsid w:val="009F4507"/>
    <w:rsid w:val="00A01CD3"/>
    <w:rsid w:val="00A03578"/>
    <w:rsid w:val="00A03B58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470F1"/>
    <w:rsid w:val="00A5086B"/>
    <w:rsid w:val="00A5492B"/>
    <w:rsid w:val="00A60B6E"/>
    <w:rsid w:val="00A625BF"/>
    <w:rsid w:val="00A633B9"/>
    <w:rsid w:val="00A64429"/>
    <w:rsid w:val="00A64584"/>
    <w:rsid w:val="00A67769"/>
    <w:rsid w:val="00A7242D"/>
    <w:rsid w:val="00A7361C"/>
    <w:rsid w:val="00A73A7D"/>
    <w:rsid w:val="00A7426A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E30"/>
    <w:rsid w:val="00B30328"/>
    <w:rsid w:val="00B322F2"/>
    <w:rsid w:val="00B34D73"/>
    <w:rsid w:val="00B45CB5"/>
    <w:rsid w:val="00B45ED1"/>
    <w:rsid w:val="00B465E5"/>
    <w:rsid w:val="00B46DCE"/>
    <w:rsid w:val="00B51703"/>
    <w:rsid w:val="00B54104"/>
    <w:rsid w:val="00B54702"/>
    <w:rsid w:val="00B54FFF"/>
    <w:rsid w:val="00B558D5"/>
    <w:rsid w:val="00B561B7"/>
    <w:rsid w:val="00B65025"/>
    <w:rsid w:val="00B671BF"/>
    <w:rsid w:val="00B72330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2CB3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44C2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35CD7"/>
    <w:rsid w:val="00D42014"/>
    <w:rsid w:val="00D57B36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5E4"/>
    <w:rsid w:val="00DD6814"/>
    <w:rsid w:val="00DD7802"/>
    <w:rsid w:val="00DE0030"/>
    <w:rsid w:val="00DE184B"/>
    <w:rsid w:val="00DE3D49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046F"/>
    <w:rsid w:val="00EA4951"/>
    <w:rsid w:val="00EB07D7"/>
    <w:rsid w:val="00EB10E1"/>
    <w:rsid w:val="00EB2605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A0044273-610F-499D-ACCA-EC9F6DDC2B20}"/>
</file>

<file path=customXml/itemProps2.xml><?xml version="1.0" encoding="utf-8"?>
<ds:datastoreItem xmlns:ds="http://schemas.openxmlformats.org/officeDocument/2006/customXml" ds:itemID="{CB43959A-039C-422C-A20F-083940160AAA}"/>
</file>

<file path=customXml/itemProps3.xml><?xml version="1.0" encoding="utf-8"?>
<ds:datastoreItem xmlns:ds="http://schemas.openxmlformats.org/officeDocument/2006/customXml" ds:itemID="{A4A30069-E0C8-4F94-8505-81123C616A91}"/>
</file>

<file path=customXml/itemProps4.xml><?xml version="1.0" encoding="utf-8"?>
<ds:datastoreItem xmlns:ds="http://schemas.openxmlformats.org/officeDocument/2006/customXml" ds:itemID="{2464216D-84F5-44A6-B24F-5638B4652C9B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1021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Deduccion especial para ciertos individuos</vt:lpstr>
    </vt:vector>
  </TitlesOfParts>
  <Company>Area de Politica Contributiva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 especial para ciertos individuos</dc:title>
  <dc:subject>Referido</dc:subject>
  <dc:creator>Edgar R Rivera Cruz</dc:creator>
  <cp:keywords>DAC</cp:keywords>
  <cp:lastModifiedBy>erc0119</cp:lastModifiedBy>
  <cp:revision>52</cp:revision>
  <cp:lastPrinted>2015-07-21T12:46:00Z</cp:lastPrinted>
  <dcterms:created xsi:type="dcterms:W3CDTF">2015-06-02T14:44:00Z</dcterms:created>
  <dcterms:modified xsi:type="dcterms:W3CDTF">2015-08-18T12:23:00Z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