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071AFD">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4979AF" w:rsidRPr="001F50AF">
              <w:rPr>
                <w:rFonts w:ascii="Times New Roman" w:eastAsiaTheme="minorHAnsi" w:hAnsi="Times New Roman"/>
                <w:b/>
                <w:sz w:val="28"/>
                <w:szCs w:val="28"/>
                <w:lang w:val="es-PR"/>
              </w:rPr>
              <w:t xml:space="preserve">el </w:t>
            </w:r>
            <w:r w:rsidR="00071AFD">
              <w:rPr>
                <w:rFonts w:ascii="Times New Roman" w:eastAsiaTheme="minorHAnsi" w:hAnsi="Times New Roman"/>
                <w:b/>
                <w:sz w:val="28"/>
                <w:szCs w:val="28"/>
                <w:lang w:val="es-PR"/>
              </w:rPr>
              <w:t>s</w:t>
            </w:r>
            <w:r w:rsidR="004979AF" w:rsidRPr="001F50AF">
              <w:rPr>
                <w:rFonts w:ascii="Times New Roman" w:eastAsiaTheme="minorHAnsi" w:hAnsi="Times New Roman"/>
                <w:b/>
                <w:sz w:val="28"/>
                <w:szCs w:val="28"/>
                <w:lang w:val="es-PR"/>
              </w:rPr>
              <w:t xml:space="preserve">ervicio </w:t>
            </w:r>
          </w:p>
        </w:tc>
      </w:tr>
    </w:tbl>
    <w:p w:rsidR="00B0003F" w:rsidRPr="00B0003F" w:rsidRDefault="002E06FD" w:rsidP="0087130E">
      <w:pPr>
        <w:pStyle w:val="ListParagraph"/>
        <w:numPr>
          <w:ilvl w:val="0"/>
          <w:numId w:val="34"/>
        </w:numPr>
        <w:spacing w:before="120" w:after="120"/>
        <w:rPr>
          <w:rFonts w:ascii="Times New Roman" w:hAnsi="Times New Roman"/>
          <w:color w:val="000000"/>
          <w:sz w:val="24"/>
          <w:szCs w:val="24"/>
          <w:lang w:val="es-PR"/>
        </w:rPr>
      </w:pPr>
      <w:r>
        <w:rPr>
          <w:rFonts w:ascii="Times New Roman" w:hAnsi="Times New Roman"/>
          <w:sz w:val="24"/>
          <w:szCs w:val="24"/>
          <w:lang w:val="es-PR"/>
        </w:rPr>
        <w:t>Se informa sobre las distribuciones en suma globales de planes de retiro cualificados. Un plan cualificado per</w:t>
      </w:r>
      <w:r w:rsidR="0031507B">
        <w:rPr>
          <w:rFonts w:ascii="Times New Roman" w:hAnsi="Times New Roman"/>
          <w:sz w:val="24"/>
          <w:szCs w:val="24"/>
          <w:lang w:val="es-PR"/>
        </w:rPr>
        <w:t xml:space="preserve">mite al patrono y al empleado </w:t>
      </w:r>
      <w:r>
        <w:rPr>
          <w:rFonts w:ascii="Times New Roman" w:hAnsi="Times New Roman"/>
          <w:sz w:val="24"/>
          <w:szCs w:val="24"/>
          <w:lang w:val="es-PR"/>
        </w:rPr>
        <w:t>acogerse a ciertos beneficios contributivos.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2E06FD" w:rsidTr="00E24E04">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071AFD"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Individuo, corporación o c</w:t>
            </w:r>
            <w:r w:rsidR="00C81510">
              <w:rPr>
                <w:rFonts w:ascii="Times New Roman" w:eastAsiaTheme="minorHAnsi" w:hAnsi="Times New Roman"/>
                <w:b/>
                <w:sz w:val="28"/>
                <w:szCs w:val="24"/>
                <w:lang w:val="es-PR"/>
              </w:rPr>
              <w:t>omerciantes</w:t>
            </w:r>
          </w:p>
        </w:tc>
      </w:tr>
    </w:tbl>
    <w:p w:rsidR="003518C4" w:rsidRPr="009A15D4" w:rsidRDefault="009A15D4" w:rsidP="003518C4">
      <w:pPr>
        <w:pStyle w:val="ListParagraph"/>
        <w:numPr>
          <w:ilvl w:val="0"/>
          <w:numId w:val="35"/>
        </w:numPr>
        <w:spacing w:before="120" w:after="120"/>
        <w:rPr>
          <w:rFonts w:ascii="Times New Roman" w:hAnsi="Times New Roman"/>
          <w:sz w:val="24"/>
          <w:szCs w:val="24"/>
          <w:lang w:val="es-PR"/>
        </w:rPr>
      </w:pPr>
      <w:r>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31507B" w:rsidTr="00E24E04">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71AFD">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3518C4" w:rsidRDefault="00E24E04" w:rsidP="0087130E">
      <w:pPr>
        <w:pStyle w:val="ListParagraph"/>
        <w:numPr>
          <w:ilvl w:val="0"/>
          <w:numId w:val="34"/>
        </w:numPr>
        <w:spacing w:before="120" w:after="120"/>
        <w:rPr>
          <w:rFonts w:ascii="Times New Roman" w:hAnsi="Times New Roman"/>
          <w:sz w:val="24"/>
          <w:szCs w:val="24"/>
          <w:lang w:val="es-PR"/>
        </w:rPr>
      </w:pPr>
      <w:r w:rsidRPr="00344018">
        <w:rPr>
          <w:rFonts w:ascii="Times New Roman" w:hAnsi="Times New Roman"/>
          <w:color w:val="000000"/>
          <w:sz w:val="24"/>
          <w:szCs w:val="24"/>
          <w:lang w:val="es-PR"/>
        </w:rPr>
        <w:t>E</w:t>
      </w:r>
      <w:r w:rsidR="003518C4">
        <w:rPr>
          <w:rFonts w:ascii="Times New Roman" w:hAnsi="Times New Roman"/>
          <w:color w:val="000000"/>
          <w:sz w:val="24"/>
          <w:szCs w:val="24"/>
          <w:lang w:val="es-PR"/>
        </w:rPr>
        <w:t>n</w:t>
      </w:r>
      <w:r w:rsidR="003518C4" w:rsidRPr="00E24E04">
        <w:rPr>
          <w:rFonts w:ascii="Times New Roman" w:hAnsi="Times New Roman"/>
          <w:sz w:val="24"/>
          <w:szCs w:val="24"/>
          <w:lang w:val="es-PR"/>
        </w:rPr>
        <w:t xml:space="preserve"> general, un acuerdo o plan cualificado de aportaciones en efectivo o diferidas es cualquier acuerdo que forme parte de un plan de participación en ganancias o un plan de bonificación en acciones que cumpla con los requisitos establecidos en la Sección 1081.01 del Código.</w:t>
      </w:r>
      <w:r w:rsidR="003518C4" w:rsidRPr="00344018">
        <w:rPr>
          <w:rFonts w:ascii="Times New Roman" w:hAnsi="Times New Roman"/>
          <w:sz w:val="24"/>
          <w:szCs w:val="24"/>
          <w:lang w:val="es-PR"/>
        </w:rPr>
        <w:t xml:space="preserve"> </w:t>
      </w:r>
    </w:p>
    <w:p w:rsidR="008A081E" w:rsidRDefault="003518C4" w:rsidP="0087130E">
      <w:pPr>
        <w:pStyle w:val="ListParagraph"/>
        <w:numPr>
          <w:ilvl w:val="0"/>
          <w:numId w:val="34"/>
        </w:numPr>
        <w:rPr>
          <w:rFonts w:ascii="Times New Roman" w:hAnsi="Times New Roman"/>
          <w:sz w:val="24"/>
          <w:szCs w:val="24"/>
          <w:lang w:val="es-PR"/>
        </w:rPr>
      </w:pPr>
      <w:r w:rsidRPr="00E24E04">
        <w:rPr>
          <w:rFonts w:ascii="Times New Roman" w:hAnsi="Times New Roman"/>
          <w:sz w:val="24"/>
          <w:szCs w:val="24"/>
          <w:lang w:val="es-PR"/>
        </w:rPr>
        <w:t>El hecho de que un plan sea cualificado bajo dicha Sección permite, tanto al patrono como al empleado, acogerse a ciertos beneficios contributivos:</w:t>
      </w:r>
    </w:p>
    <w:p w:rsidR="008A081E" w:rsidRPr="008A081E" w:rsidRDefault="003518C4" w:rsidP="0087130E">
      <w:pPr>
        <w:pStyle w:val="ListParagraph"/>
        <w:numPr>
          <w:ilvl w:val="1"/>
          <w:numId w:val="34"/>
        </w:numPr>
        <w:rPr>
          <w:rFonts w:ascii="Times New Roman" w:hAnsi="Times New Roman"/>
          <w:sz w:val="24"/>
          <w:szCs w:val="24"/>
          <w:lang w:val="es-PR"/>
        </w:rPr>
      </w:pPr>
      <w:r w:rsidRPr="008A081E">
        <w:rPr>
          <w:rFonts w:ascii="Times New Roman" w:hAnsi="Times New Roman"/>
          <w:b/>
          <w:color w:val="000000"/>
          <w:sz w:val="24"/>
          <w:szCs w:val="24"/>
          <w:lang w:val="es-PR"/>
        </w:rPr>
        <w:t>Patronos</w:t>
      </w:r>
    </w:p>
    <w:p w:rsidR="008A081E" w:rsidRPr="008A081E" w:rsidRDefault="008A081E" w:rsidP="0087130E">
      <w:pPr>
        <w:pStyle w:val="ListParagraph"/>
        <w:numPr>
          <w:ilvl w:val="2"/>
          <w:numId w:val="34"/>
        </w:numPr>
        <w:rPr>
          <w:rFonts w:ascii="Times New Roman" w:hAnsi="Times New Roman"/>
          <w:sz w:val="24"/>
          <w:szCs w:val="24"/>
          <w:lang w:val="es-PR"/>
        </w:rPr>
      </w:pPr>
      <w:r>
        <w:rPr>
          <w:rFonts w:ascii="Times New Roman" w:hAnsi="Times New Roman"/>
          <w:color w:val="000000"/>
          <w:sz w:val="24"/>
          <w:szCs w:val="24"/>
          <w:lang w:val="es-PR"/>
        </w:rPr>
        <w:t>P</w:t>
      </w:r>
      <w:r w:rsidR="003518C4" w:rsidRPr="008A081E">
        <w:rPr>
          <w:rFonts w:ascii="Times New Roman" w:hAnsi="Times New Roman"/>
          <w:color w:val="000000"/>
          <w:sz w:val="24"/>
          <w:szCs w:val="24"/>
          <w:lang w:val="es-PR"/>
        </w:rPr>
        <w:t>odrán reclamar como deducción en su planilla de contribución sobre ingresos las aportaciones efectuadas al plan,  además de los costos de administración.</w:t>
      </w:r>
    </w:p>
    <w:p w:rsidR="008A081E" w:rsidRPr="008A081E" w:rsidRDefault="003518C4" w:rsidP="0087130E">
      <w:pPr>
        <w:pStyle w:val="ListParagraph"/>
        <w:numPr>
          <w:ilvl w:val="2"/>
          <w:numId w:val="34"/>
        </w:numPr>
        <w:rPr>
          <w:rFonts w:ascii="Times New Roman" w:hAnsi="Times New Roman"/>
          <w:sz w:val="24"/>
          <w:szCs w:val="24"/>
          <w:lang w:val="es-PR"/>
        </w:rPr>
      </w:pPr>
      <w:r w:rsidRPr="008A081E">
        <w:rPr>
          <w:rFonts w:ascii="Times New Roman" w:hAnsi="Times New Roman"/>
          <w:color w:val="000000"/>
          <w:sz w:val="24"/>
          <w:szCs w:val="24"/>
          <w:lang w:val="es-PR"/>
        </w:rPr>
        <w:t>El fideicomiso que se constituya bajo el plan estará exento de tributación.</w:t>
      </w:r>
    </w:p>
    <w:p w:rsidR="003518C4" w:rsidRPr="008A081E" w:rsidRDefault="003518C4" w:rsidP="0087130E">
      <w:pPr>
        <w:pStyle w:val="ListParagraph"/>
        <w:numPr>
          <w:ilvl w:val="2"/>
          <w:numId w:val="34"/>
        </w:numPr>
        <w:rPr>
          <w:rFonts w:ascii="Times New Roman" w:hAnsi="Times New Roman"/>
          <w:sz w:val="24"/>
          <w:szCs w:val="24"/>
          <w:lang w:val="es-PR"/>
        </w:rPr>
      </w:pPr>
      <w:r w:rsidRPr="008A081E">
        <w:rPr>
          <w:rFonts w:ascii="Times New Roman" w:hAnsi="Times New Roman"/>
          <w:color w:val="000000"/>
          <w:sz w:val="24"/>
          <w:szCs w:val="24"/>
          <w:lang w:val="es-PR"/>
        </w:rPr>
        <w:t>Los planes de pensiones sirven como incentivo para atraer y retener personal idóneo a la empresa.</w:t>
      </w:r>
    </w:p>
    <w:p w:rsidR="008A081E" w:rsidRDefault="003518C4" w:rsidP="008A081E">
      <w:pPr>
        <w:pStyle w:val="ListParagraph"/>
        <w:numPr>
          <w:ilvl w:val="0"/>
          <w:numId w:val="39"/>
        </w:numPr>
        <w:shd w:val="clear" w:color="auto" w:fill="FFFFFF"/>
        <w:spacing w:before="120" w:after="120" w:line="240" w:lineRule="auto"/>
        <w:jc w:val="both"/>
        <w:rPr>
          <w:rFonts w:ascii="Times New Roman" w:hAnsi="Times New Roman"/>
          <w:b/>
          <w:color w:val="000000"/>
          <w:sz w:val="24"/>
          <w:szCs w:val="24"/>
          <w:lang w:val="es-PR"/>
        </w:rPr>
      </w:pPr>
      <w:r w:rsidRPr="00E24E04">
        <w:rPr>
          <w:rFonts w:ascii="Times New Roman" w:hAnsi="Times New Roman"/>
          <w:b/>
          <w:color w:val="000000"/>
          <w:sz w:val="24"/>
          <w:szCs w:val="24"/>
          <w:lang w:val="es-PR"/>
        </w:rPr>
        <w:t>Empleados</w:t>
      </w:r>
    </w:p>
    <w:p w:rsidR="008A081E" w:rsidRDefault="008A081E" w:rsidP="0087130E">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L</w:t>
      </w:r>
      <w:r w:rsidR="003518C4" w:rsidRPr="00E24E04">
        <w:rPr>
          <w:rFonts w:ascii="Times New Roman" w:hAnsi="Times New Roman"/>
          <w:color w:val="000000"/>
          <w:sz w:val="24"/>
          <w:szCs w:val="24"/>
          <w:lang w:val="es-PR"/>
        </w:rPr>
        <w:t xml:space="preserve">os empleados no vienen </w:t>
      </w:r>
      <w:r w:rsidR="003518C4">
        <w:rPr>
          <w:rFonts w:ascii="Times New Roman" w:hAnsi="Times New Roman"/>
          <w:color w:val="000000"/>
          <w:sz w:val="24"/>
          <w:szCs w:val="24"/>
          <w:lang w:val="es-PR"/>
        </w:rPr>
        <w:t xml:space="preserve">obligados a reconocer como ingreso tributable las aportaciones hechas por el patrono al plan. </w:t>
      </w:r>
      <w:r w:rsidR="003518C4" w:rsidRPr="002E68F3">
        <w:rPr>
          <w:rFonts w:ascii="Times New Roman" w:hAnsi="Times New Roman"/>
          <w:color w:val="000000"/>
          <w:sz w:val="24"/>
          <w:szCs w:val="24"/>
          <w:lang w:val="es-PR"/>
        </w:rPr>
        <w:t xml:space="preserve">Las aportaciones que efectúe el participante, de acuerdo al plan que establezca el patrono, son excluidas del ingreso bruto y no tributan hasta que el participante reciba la distribución. </w:t>
      </w:r>
    </w:p>
    <w:p w:rsidR="008A081E" w:rsidRDefault="003518C4" w:rsidP="0087130E">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sidRPr="008A081E">
        <w:rPr>
          <w:rFonts w:ascii="Times New Roman" w:hAnsi="Times New Roman"/>
          <w:color w:val="000000"/>
          <w:sz w:val="24"/>
          <w:szCs w:val="24"/>
          <w:lang w:val="es-PR"/>
        </w:rPr>
        <w:t>El ingreso derivado de la inversión de los fondos del fideicomiso tampoco será tributable  hasta que dicho incremento no sea distribuido al empleado.</w:t>
      </w:r>
    </w:p>
    <w:p w:rsidR="00923A12" w:rsidRDefault="003518C4" w:rsidP="0087130E">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sidRPr="008A081E">
        <w:rPr>
          <w:rFonts w:ascii="Times New Roman" w:hAnsi="Times New Roman"/>
          <w:color w:val="000000"/>
          <w:sz w:val="24"/>
          <w:szCs w:val="24"/>
          <w:lang w:val="es-PR"/>
        </w:rPr>
        <w:t>En el caso de distribuciones en suma global de planes de pensiones, estas pueden ser tratadas como ganancia de capital a largo plazo y acogerse a las tasas especiales aplicables.</w:t>
      </w:r>
    </w:p>
    <w:p w:rsidR="0032757A" w:rsidRPr="0032757A" w:rsidRDefault="0032757A" w:rsidP="0032757A">
      <w:pPr>
        <w:shd w:val="clear" w:color="auto" w:fill="FFFFFF"/>
        <w:spacing w:before="120" w:after="120" w:line="240" w:lineRule="auto"/>
        <w:jc w:val="both"/>
        <w:rPr>
          <w:rFonts w:ascii="Times New Roman" w:hAnsi="Times New Roman"/>
          <w:color w:val="000000"/>
          <w:sz w:val="24"/>
          <w:szCs w:val="24"/>
          <w:lang w:val="es-PR"/>
        </w:rPr>
      </w:pPr>
    </w:p>
    <w:p w:rsidR="008A081E" w:rsidRDefault="003518C4" w:rsidP="008A081E">
      <w:pPr>
        <w:pStyle w:val="ListParagraph"/>
        <w:numPr>
          <w:ilvl w:val="0"/>
          <w:numId w:val="37"/>
        </w:numPr>
        <w:shd w:val="clear" w:color="auto" w:fill="FFFFFF"/>
        <w:spacing w:before="120" w:after="120" w:line="240" w:lineRule="auto"/>
        <w:rPr>
          <w:rFonts w:ascii="Times New Roman" w:hAnsi="Times New Roman"/>
          <w:b/>
          <w:color w:val="000000"/>
          <w:sz w:val="24"/>
          <w:szCs w:val="24"/>
          <w:lang w:val="es-PR"/>
        </w:rPr>
      </w:pPr>
      <w:r w:rsidRPr="0075445D">
        <w:rPr>
          <w:rFonts w:ascii="Times New Roman" w:hAnsi="Times New Roman"/>
          <w:b/>
          <w:color w:val="000000"/>
          <w:sz w:val="24"/>
          <w:szCs w:val="24"/>
          <w:lang w:val="es-PR"/>
        </w:rPr>
        <w:t>Regla general-20%</w:t>
      </w:r>
    </w:p>
    <w:p w:rsidR="00B0003F" w:rsidRPr="00B0003F" w:rsidRDefault="003518C4" w:rsidP="008A081E">
      <w:pPr>
        <w:pStyle w:val="ListParagraph"/>
        <w:numPr>
          <w:ilvl w:val="1"/>
          <w:numId w:val="37"/>
        </w:numPr>
        <w:shd w:val="clear" w:color="auto" w:fill="FFFFFF"/>
        <w:spacing w:before="120" w:after="120" w:line="240" w:lineRule="auto"/>
        <w:rPr>
          <w:rFonts w:ascii="Times New Roman" w:hAnsi="Times New Roman"/>
          <w:b/>
          <w:color w:val="000000"/>
          <w:sz w:val="24"/>
          <w:szCs w:val="24"/>
          <w:lang w:val="es-PR"/>
        </w:rPr>
      </w:pPr>
      <w:r w:rsidRPr="008A081E">
        <w:rPr>
          <w:rFonts w:ascii="Times New Roman" w:hAnsi="Times New Roman"/>
          <w:color w:val="000000"/>
          <w:sz w:val="24"/>
          <w:szCs w:val="24"/>
          <w:lang w:val="es-PR"/>
        </w:rPr>
        <w:lastRenderedPageBreak/>
        <w:t>Las distribuciones totales por un fideicomiso que forme parte de un plan de pensiones, de participación en ganancias, de bonificación en acciones o de adquisición de acciones para empleados, que sean pagadas al participante:</w:t>
      </w:r>
    </w:p>
    <w:p w:rsidR="00B0003F" w:rsidRDefault="003518C4" w:rsidP="00B0003F">
      <w:pPr>
        <w:pStyle w:val="ListParagraph"/>
        <w:numPr>
          <w:ilvl w:val="2"/>
          <w:numId w:val="37"/>
        </w:numPr>
        <w:shd w:val="clear" w:color="auto" w:fill="FFFFFF"/>
        <w:spacing w:before="120" w:after="120" w:line="240" w:lineRule="auto"/>
        <w:rPr>
          <w:rFonts w:ascii="Times New Roman" w:hAnsi="Times New Roman"/>
          <w:b/>
          <w:color w:val="000000"/>
          <w:sz w:val="24"/>
          <w:szCs w:val="24"/>
          <w:lang w:val="es-PR"/>
        </w:rPr>
      </w:pPr>
      <w:r w:rsidRPr="008A081E">
        <w:rPr>
          <w:rFonts w:ascii="Times New Roman" w:hAnsi="Times New Roman"/>
          <w:color w:val="000000"/>
          <w:sz w:val="24"/>
          <w:szCs w:val="24"/>
          <w:lang w:val="es-PR"/>
        </w:rPr>
        <w:t xml:space="preserve"> </w:t>
      </w:r>
      <w:r w:rsidRPr="008A081E">
        <w:rPr>
          <w:rFonts w:ascii="Times New Roman" w:hAnsi="Times New Roman"/>
          <w:b/>
          <w:color w:val="000000"/>
          <w:sz w:val="24"/>
          <w:szCs w:val="24"/>
          <w:lang w:val="es-PR"/>
        </w:rPr>
        <w:t>dentro de un solo año contributivo</w:t>
      </w:r>
      <w:r w:rsidR="00B0003F">
        <w:rPr>
          <w:rFonts w:ascii="Times New Roman" w:hAnsi="Times New Roman"/>
          <w:b/>
          <w:color w:val="000000"/>
          <w:sz w:val="24"/>
          <w:szCs w:val="24"/>
          <w:lang w:val="es-PR"/>
        </w:rPr>
        <w:t>,</w:t>
      </w:r>
      <w:r w:rsidRPr="008A081E">
        <w:rPr>
          <w:rFonts w:ascii="Times New Roman" w:hAnsi="Times New Roman"/>
          <w:b/>
          <w:color w:val="000000"/>
          <w:sz w:val="24"/>
          <w:szCs w:val="24"/>
          <w:lang w:val="es-PR"/>
        </w:rPr>
        <w:t xml:space="preserve"> y/o</w:t>
      </w:r>
      <w:r w:rsidR="00B0003F">
        <w:rPr>
          <w:rFonts w:ascii="Times New Roman" w:hAnsi="Times New Roman"/>
          <w:b/>
          <w:color w:val="000000"/>
          <w:sz w:val="24"/>
          <w:szCs w:val="24"/>
          <w:lang w:val="es-PR"/>
        </w:rPr>
        <w:t>;</w:t>
      </w:r>
      <w:r w:rsidRPr="008A081E">
        <w:rPr>
          <w:rFonts w:ascii="Times New Roman" w:hAnsi="Times New Roman"/>
          <w:b/>
          <w:color w:val="000000"/>
          <w:sz w:val="24"/>
          <w:szCs w:val="24"/>
          <w:lang w:val="es-PR"/>
        </w:rPr>
        <w:t xml:space="preserve"> </w:t>
      </w:r>
    </w:p>
    <w:p w:rsidR="00B0003F" w:rsidRPr="00B0003F" w:rsidRDefault="003518C4" w:rsidP="00B0003F">
      <w:pPr>
        <w:pStyle w:val="ListParagraph"/>
        <w:numPr>
          <w:ilvl w:val="2"/>
          <w:numId w:val="37"/>
        </w:numPr>
        <w:shd w:val="clear" w:color="auto" w:fill="FFFFFF"/>
        <w:spacing w:before="120" w:after="120" w:line="240" w:lineRule="auto"/>
        <w:rPr>
          <w:rFonts w:ascii="Times New Roman" w:hAnsi="Times New Roman"/>
          <w:b/>
          <w:color w:val="000000"/>
          <w:sz w:val="24"/>
          <w:szCs w:val="24"/>
          <w:lang w:val="es-PR"/>
        </w:rPr>
      </w:pPr>
      <w:r w:rsidRPr="008A081E">
        <w:rPr>
          <w:rFonts w:ascii="Times New Roman" w:hAnsi="Times New Roman"/>
          <w:b/>
          <w:color w:val="000000"/>
          <w:sz w:val="24"/>
          <w:szCs w:val="24"/>
          <w:lang w:val="es-PR"/>
        </w:rPr>
        <w:t>debido a la separación del servicio</w:t>
      </w:r>
      <w:r w:rsidRPr="008A081E">
        <w:rPr>
          <w:rFonts w:ascii="Times New Roman" w:hAnsi="Times New Roman"/>
          <w:color w:val="000000"/>
          <w:sz w:val="24"/>
          <w:szCs w:val="24"/>
          <w:lang w:val="es-PR"/>
        </w:rPr>
        <w:t xml:space="preserve">, </w:t>
      </w:r>
    </w:p>
    <w:p w:rsidR="00923A12" w:rsidRPr="00923A12" w:rsidRDefault="00923A12" w:rsidP="00923A12">
      <w:pPr>
        <w:pStyle w:val="ListParagraph"/>
        <w:numPr>
          <w:ilvl w:val="0"/>
          <w:numId w:val="43"/>
        </w:numPr>
        <w:shd w:val="clear" w:color="auto" w:fill="FFFFFF"/>
        <w:spacing w:before="120" w:after="120" w:line="240" w:lineRule="auto"/>
        <w:ind w:left="1530" w:hanging="450"/>
        <w:rPr>
          <w:rFonts w:ascii="Times New Roman" w:hAnsi="Times New Roman"/>
          <w:b/>
          <w:color w:val="000000"/>
          <w:sz w:val="24"/>
          <w:szCs w:val="24"/>
          <w:lang w:val="es-PR"/>
        </w:rPr>
      </w:pPr>
      <w:r>
        <w:rPr>
          <w:rFonts w:ascii="Times New Roman" w:hAnsi="Times New Roman"/>
          <w:color w:val="000000"/>
          <w:sz w:val="24"/>
          <w:szCs w:val="24"/>
          <w:lang w:val="es-PR"/>
        </w:rPr>
        <w:t>S</w:t>
      </w:r>
      <w:r w:rsidR="003518C4" w:rsidRPr="00B0003F">
        <w:rPr>
          <w:rFonts w:ascii="Times New Roman" w:hAnsi="Times New Roman"/>
          <w:color w:val="000000"/>
          <w:sz w:val="24"/>
          <w:szCs w:val="24"/>
          <w:lang w:val="es-PR"/>
        </w:rPr>
        <w:t>erán consideradas como una ganancia de capital a largo plazo con respecto a la cantidad que exceda la cantidad aportada por el empleado que ya haya sido tributada por éste. Dicha distribución estará sujeta a una tasa contributiva de 20%.</w:t>
      </w:r>
    </w:p>
    <w:p w:rsidR="00923A12" w:rsidRPr="00471EC1" w:rsidRDefault="00923A12" w:rsidP="00923A12">
      <w:pPr>
        <w:pStyle w:val="ListParagraph"/>
        <w:numPr>
          <w:ilvl w:val="0"/>
          <w:numId w:val="43"/>
        </w:numPr>
        <w:shd w:val="clear" w:color="auto" w:fill="FFFFFF"/>
        <w:spacing w:before="120" w:after="120" w:line="240" w:lineRule="auto"/>
        <w:ind w:left="1530" w:hanging="450"/>
        <w:rPr>
          <w:rFonts w:ascii="Times New Roman" w:hAnsi="Times New Roman"/>
          <w:b/>
          <w:color w:val="000000"/>
          <w:sz w:val="24"/>
          <w:szCs w:val="24"/>
          <w:lang w:val="es-PR"/>
        </w:rPr>
      </w:pPr>
      <w:r w:rsidRPr="00923A12">
        <w:rPr>
          <w:rFonts w:ascii="Times New Roman" w:hAnsi="Times New Roman"/>
          <w:color w:val="000000"/>
          <w:sz w:val="24"/>
          <w:szCs w:val="24"/>
          <w:lang w:val="es-PR"/>
        </w:rPr>
        <w:t>El participante o beneficiario del plan informará esta distribución en la Planilla, Anejo D, Parte V, Línea 33 (Contribuyente) o 34 (Cónyuge), según aplique.</w:t>
      </w:r>
    </w:p>
    <w:p w:rsidR="00471EC1" w:rsidRPr="00923A12" w:rsidRDefault="00471EC1" w:rsidP="00923A12">
      <w:pPr>
        <w:pStyle w:val="ListParagraph"/>
        <w:numPr>
          <w:ilvl w:val="0"/>
          <w:numId w:val="43"/>
        </w:numPr>
        <w:shd w:val="clear" w:color="auto" w:fill="FFFFFF"/>
        <w:spacing w:before="120" w:after="120" w:line="240" w:lineRule="auto"/>
        <w:ind w:left="1530" w:hanging="450"/>
        <w:rPr>
          <w:rFonts w:ascii="Times New Roman" w:hAnsi="Times New Roman"/>
          <w:b/>
          <w:color w:val="000000"/>
          <w:sz w:val="24"/>
          <w:szCs w:val="24"/>
          <w:lang w:val="es-PR"/>
        </w:rPr>
      </w:pPr>
      <w:r w:rsidRPr="00B0003F">
        <w:rPr>
          <w:rFonts w:ascii="Times New Roman" w:hAnsi="Times New Roman"/>
          <w:sz w:val="24"/>
          <w:lang w:val="es-PR"/>
        </w:rPr>
        <w:t xml:space="preserve">Estas distribuciones aparecen informadas en la Declaración Informativa - Planes de Retiro y Anualidades (Formulario 480.7C). En dicho formulario, el fideicomiso indicará que es una distribución en suma global en el Encasillado correspondiente a “Forma de Distribución”. El total de la distribución aparecerá, en el Encasillado 14 y la cantidad tributable en el Encasillado 15. </w:t>
      </w:r>
      <w:r w:rsidRPr="00471EC1">
        <w:rPr>
          <w:rFonts w:ascii="Times New Roman" w:hAnsi="Times New Roman"/>
          <w:sz w:val="24"/>
          <w:lang w:val="es-PR"/>
        </w:rPr>
        <w:t>La contribución retenida aparece informada en el Encasillado 6.</w:t>
      </w:r>
    </w:p>
    <w:p w:rsidR="00B0003F" w:rsidRDefault="003518C4" w:rsidP="00B0003F">
      <w:pPr>
        <w:pStyle w:val="ListParagraph"/>
        <w:numPr>
          <w:ilvl w:val="0"/>
          <w:numId w:val="38"/>
        </w:numPr>
        <w:shd w:val="clear" w:color="auto" w:fill="FFFFFF"/>
        <w:spacing w:before="120" w:after="120" w:line="240" w:lineRule="auto"/>
        <w:jc w:val="both"/>
        <w:rPr>
          <w:rFonts w:ascii="Times New Roman" w:hAnsi="Times New Roman"/>
          <w:b/>
          <w:color w:val="000000"/>
          <w:sz w:val="24"/>
          <w:szCs w:val="24"/>
          <w:lang w:val="es-PR"/>
        </w:rPr>
      </w:pPr>
      <w:r w:rsidRPr="00CB0E6F">
        <w:rPr>
          <w:rFonts w:ascii="Times New Roman" w:hAnsi="Times New Roman"/>
          <w:b/>
          <w:color w:val="000000"/>
          <w:sz w:val="24"/>
          <w:szCs w:val="24"/>
          <w:lang w:val="es-PR"/>
        </w:rPr>
        <w:t>Distribuciones de ciertos fideicomisos que cumplan con ciertos requisitos 10%</w:t>
      </w:r>
    </w:p>
    <w:p w:rsidR="00B0003F" w:rsidRPr="00B0003F" w:rsidRDefault="003518C4" w:rsidP="0087130E">
      <w:pPr>
        <w:pStyle w:val="ListParagraph"/>
        <w:numPr>
          <w:ilvl w:val="1"/>
          <w:numId w:val="38"/>
        </w:numPr>
        <w:shd w:val="clear" w:color="auto" w:fill="FFFFFF"/>
        <w:spacing w:before="120" w:after="120" w:line="240" w:lineRule="auto"/>
        <w:rPr>
          <w:rFonts w:ascii="Times New Roman" w:hAnsi="Times New Roman"/>
          <w:b/>
          <w:color w:val="000000"/>
          <w:sz w:val="24"/>
          <w:szCs w:val="24"/>
          <w:lang w:val="es-PR"/>
        </w:rPr>
      </w:pPr>
      <w:r w:rsidRPr="00B0003F">
        <w:rPr>
          <w:rFonts w:ascii="Times New Roman" w:hAnsi="Times New Roman"/>
          <w:color w:val="000000"/>
          <w:sz w:val="24"/>
          <w:szCs w:val="24"/>
          <w:lang w:val="es-PR"/>
        </w:rPr>
        <w:t>Estarán sujetas a una tasa de un 10% aquellas distribuciones efectuadas por un fideicomiso que forme parte de un plan de pensiones, participación en ganancias, de bonificación en acciones o de adquisición de acciones para empleados, si:</w:t>
      </w:r>
    </w:p>
    <w:p w:rsidR="00B0003F" w:rsidRPr="0087130E" w:rsidRDefault="003518C4" w:rsidP="0087130E">
      <w:pPr>
        <w:pStyle w:val="ListParagraph"/>
        <w:shd w:val="clear" w:color="auto" w:fill="FFFFFF"/>
        <w:spacing w:before="120" w:after="120" w:line="240" w:lineRule="auto"/>
        <w:ind w:left="1440"/>
        <w:rPr>
          <w:rFonts w:ascii="Times New Roman" w:hAnsi="Times New Roman"/>
          <w:b/>
          <w:color w:val="000000"/>
          <w:sz w:val="24"/>
          <w:szCs w:val="24"/>
          <w:lang w:val="es-PR"/>
        </w:rPr>
      </w:pPr>
      <w:r w:rsidRPr="00B0003F">
        <w:rPr>
          <w:rFonts w:ascii="Times New Roman" w:hAnsi="Times New Roman"/>
          <w:color w:val="000000"/>
          <w:sz w:val="24"/>
          <w:szCs w:val="24"/>
          <w:lang w:val="es-PR"/>
        </w:rPr>
        <w:t>el fideicomiso está organizado bajo las leyes del Estado Libre Asociado de Puerto Rico, o tiene un fiduciario residente de Puerto Rico y utiliza a dicho fiduciario como agente pagador; y</w:t>
      </w:r>
      <w:r w:rsidR="0087130E">
        <w:rPr>
          <w:rFonts w:ascii="Times New Roman" w:hAnsi="Times New Roman"/>
          <w:color w:val="000000"/>
          <w:sz w:val="24"/>
          <w:szCs w:val="24"/>
          <w:lang w:val="es-PR"/>
        </w:rPr>
        <w:t xml:space="preserve"> </w:t>
      </w:r>
      <w:r w:rsidRPr="0087130E">
        <w:rPr>
          <w:rFonts w:ascii="Times New Roman" w:hAnsi="Times New Roman"/>
          <w:color w:val="000000"/>
          <w:sz w:val="24"/>
          <w:szCs w:val="24"/>
          <w:lang w:val="es-PR"/>
        </w:rPr>
        <w:t xml:space="preserve">un 10% del total de los activos del fideicomiso atribuibles a los participantes residente de Puerto Rico, computado al cierre del año del plan durante el cual se realiza la distribución y durante cada uno de los dos años del plan precedentes a la fecha de la distribución, han estado invertidos en ‘‘propiedad localizada en Puerto Rico’’, en compañías inscritas de inversión organizadas bajo las leyes de Puerto Rico y sujetas a tributación bajo la Sección 1112.01 del Código, o cualquier otra propiedad que mediante reglamento o carta circular el Secretario califique como propiedad localizada en Puerto Rico. Disponiéndose, sin embargo, que el requisito de inversión </w:t>
      </w:r>
      <w:r w:rsidR="0087130E" w:rsidRPr="0087130E">
        <w:rPr>
          <w:rFonts w:ascii="Times New Roman" w:hAnsi="Times New Roman"/>
          <w:color w:val="000000"/>
          <w:sz w:val="24"/>
          <w:szCs w:val="24"/>
          <w:lang w:val="es-PR"/>
        </w:rPr>
        <w:t>sea</w:t>
      </w:r>
      <w:r w:rsidRPr="0087130E">
        <w:rPr>
          <w:rFonts w:ascii="Times New Roman" w:hAnsi="Times New Roman"/>
          <w:color w:val="000000"/>
          <w:sz w:val="24"/>
          <w:szCs w:val="24"/>
          <w:lang w:val="es-PR"/>
        </w:rPr>
        <w:t xml:space="preserve"> aplicable a distribuciones hechas entre el 30 de enero de 2006 y el 31 de diciembre de 2007.</w:t>
      </w:r>
    </w:p>
    <w:p w:rsidR="00B0003F" w:rsidRPr="00B0003F" w:rsidRDefault="00471EC1" w:rsidP="00B0003F">
      <w:pPr>
        <w:pStyle w:val="ListParagraph"/>
        <w:numPr>
          <w:ilvl w:val="1"/>
          <w:numId w:val="38"/>
        </w:numPr>
        <w:shd w:val="clear" w:color="auto" w:fill="FFFFFF"/>
        <w:spacing w:before="120" w:after="120" w:line="240" w:lineRule="auto"/>
        <w:jc w:val="both"/>
        <w:rPr>
          <w:rFonts w:ascii="Times New Roman" w:hAnsi="Times New Roman"/>
          <w:b/>
          <w:color w:val="000000"/>
          <w:sz w:val="24"/>
          <w:szCs w:val="24"/>
          <w:lang w:val="es-PR"/>
        </w:rPr>
      </w:pPr>
      <w:r>
        <w:rPr>
          <w:rFonts w:ascii="Times New Roman" w:hAnsi="Times New Roman"/>
          <w:color w:val="000000"/>
          <w:sz w:val="24"/>
          <w:szCs w:val="24"/>
          <w:lang w:val="es-PR"/>
        </w:rPr>
        <w:t>Estas distribuciones aparecen informadas en la Declaración Informativa- Planes de Retiro y Anualidades (Formulario 480.7C). En dicho formulario, el fideicomiso indicará que es una distribución en suma global en el Encasillado correspondiente a ‘‘Forma de Distribución’’. El total de la distribución aparecerá en el Encasillado 14 y la cantidad tributable en el Encasillado 15. La contribución retenida aparece informada en el encasillado 7.</w:t>
      </w:r>
    </w:p>
    <w:p w:rsidR="00B0003F" w:rsidRDefault="003518C4" w:rsidP="00B0003F">
      <w:pPr>
        <w:pStyle w:val="ListParagraph"/>
        <w:numPr>
          <w:ilvl w:val="0"/>
          <w:numId w:val="38"/>
        </w:numPr>
        <w:shd w:val="clear" w:color="auto" w:fill="FFFFFF"/>
        <w:spacing w:before="120" w:after="120" w:line="240" w:lineRule="auto"/>
        <w:rPr>
          <w:rFonts w:ascii="Times New Roman" w:hAnsi="Times New Roman"/>
          <w:b/>
          <w:color w:val="000000"/>
          <w:sz w:val="24"/>
          <w:szCs w:val="24"/>
          <w:lang w:val="es-PR"/>
        </w:rPr>
      </w:pPr>
      <w:r w:rsidRPr="00612C4E">
        <w:rPr>
          <w:rFonts w:ascii="Times New Roman" w:hAnsi="Times New Roman"/>
          <w:b/>
          <w:color w:val="000000"/>
          <w:sz w:val="24"/>
          <w:szCs w:val="24"/>
          <w:lang w:val="es-PR"/>
        </w:rPr>
        <w:t>Pago por adelantado</w:t>
      </w:r>
    </w:p>
    <w:p w:rsidR="00923A12" w:rsidRDefault="003518C4" w:rsidP="00923A12">
      <w:pPr>
        <w:pStyle w:val="ListParagraph"/>
        <w:numPr>
          <w:ilvl w:val="1"/>
          <w:numId w:val="37"/>
        </w:numPr>
        <w:shd w:val="clear" w:color="auto" w:fill="FFFFFF"/>
        <w:spacing w:before="120" w:after="120" w:line="240" w:lineRule="auto"/>
        <w:rPr>
          <w:rFonts w:ascii="Times New Roman" w:hAnsi="Times New Roman"/>
          <w:color w:val="000000"/>
          <w:sz w:val="24"/>
          <w:szCs w:val="24"/>
          <w:lang w:val="es-PR"/>
        </w:rPr>
      </w:pPr>
      <w:r w:rsidRPr="00B0003F">
        <w:rPr>
          <w:rFonts w:ascii="Times New Roman" w:hAnsi="Times New Roman"/>
          <w:color w:val="000000"/>
          <w:sz w:val="24"/>
          <w:szCs w:val="24"/>
          <w:lang w:val="es-PR"/>
        </w:rPr>
        <w:lastRenderedPageBreak/>
        <w:t>Las cantidades acumuladas y no distribuidas de dichos fideicomisos sobre las cuales, dentro del período de 16 de mayo de 2006 al 31 de diciembre de 2006, el participante pagó por adelantado la contribución especial de %5, además, incluye las cantidades sobre las cuales se pagó la contribución por adelantado bajo la Sección 1023.21 dentro del periodo de 1 de julio de 2014 al 31 de enero de 2015, se considerará como base al momento de la distribución.</w:t>
      </w:r>
      <w:r w:rsidR="00923A12" w:rsidRPr="00923A12">
        <w:rPr>
          <w:rFonts w:ascii="Times New Roman" w:hAnsi="Times New Roman"/>
          <w:color w:val="000000"/>
          <w:sz w:val="24"/>
          <w:szCs w:val="24"/>
          <w:lang w:val="es-PR"/>
        </w:rPr>
        <w:t xml:space="preserve"> </w:t>
      </w:r>
    </w:p>
    <w:p w:rsidR="00923A12" w:rsidRPr="006E18EA" w:rsidRDefault="00923A12" w:rsidP="00923A12">
      <w:pPr>
        <w:pStyle w:val="ListParagraph"/>
        <w:numPr>
          <w:ilvl w:val="1"/>
          <w:numId w:val="37"/>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 xml:space="preserve">Las </w:t>
      </w:r>
      <w:r w:rsidRPr="002E41F1">
        <w:rPr>
          <w:rFonts w:ascii="Times New Roman" w:hAnsi="Times New Roman"/>
          <w:b/>
          <w:color w:val="000000"/>
          <w:sz w:val="24"/>
          <w:szCs w:val="24"/>
          <w:lang w:val="es-PR"/>
        </w:rPr>
        <w:t>distribuciones del plan de pago</w:t>
      </w:r>
      <w:r>
        <w:rPr>
          <w:rFonts w:ascii="Times New Roman" w:hAnsi="Times New Roman"/>
          <w:color w:val="000000"/>
          <w:sz w:val="24"/>
          <w:szCs w:val="24"/>
          <w:lang w:val="es-PR"/>
        </w:rPr>
        <w:t xml:space="preserve"> aparecen informadas en la Declaración Informativa- Planes de Retiro y Anualidades (Formulario 480.7C), Encasillado 16. Además, las distribuciones informadas en el Encasillado 17B- Aportaciones Voluntarios (‘‘</w:t>
      </w:r>
      <w:proofErr w:type="spellStart"/>
      <w:r>
        <w:rPr>
          <w:rFonts w:ascii="Times New Roman" w:hAnsi="Times New Roman"/>
          <w:color w:val="000000"/>
          <w:sz w:val="24"/>
          <w:szCs w:val="24"/>
          <w:lang w:val="es-PR"/>
        </w:rPr>
        <w:t>after-tax</w:t>
      </w:r>
      <w:proofErr w:type="spellEnd"/>
      <w:r>
        <w:rPr>
          <w:rFonts w:ascii="Times New Roman" w:hAnsi="Times New Roman"/>
          <w:color w:val="000000"/>
          <w:sz w:val="24"/>
          <w:szCs w:val="24"/>
          <w:lang w:val="es-PR"/>
        </w:rPr>
        <w:t xml:space="preserve"> contributions’’), también se consideran base.</w:t>
      </w:r>
    </w:p>
    <w:p w:rsidR="00B0003F" w:rsidRDefault="003518C4" w:rsidP="00B0003F">
      <w:pPr>
        <w:pStyle w:val="ListParagraph"/>
        <w:numPr>
          <w:ilvl w:val="0"/>
          <w:numId w:val="38"/>
        </w:numPr>
        <w:shd w:val="clear" w:color="auto" w:fill="FFFFFF"/>
        <w:spacing w:before="120" w:after="120" w:line="240" w:lineRule="auto"/>
        <w:rPr>
          <w:rFonts w:ascii="Times New Roman" w:hAnsi="Times New Roman"/>
          <w:b/>
          <w:color w:val="000000"/>
          <w:sz w:val="24"/>
          <w:szCs w:val="24"/>
          <w:lang w:val="es-PR"/>
        </w:rPr>
      </w:pPr>
      <w:r w:rsidRPr="002E41F1">
        <w:rPr>
          <w:rFonts w:ascii="Times New Roman" w:hAnsi="Times New Roman"/>
          <w:b/>
          <w:color w:val="000000"/>
          <w:sz w:val="24"/>
          <w:szCs w:val="24"/>
          <w:lang w:val="es-PR"/>
        </w:rPr>
        <w:t>Obligación de deducir, retener e informar las distribuciones</w:t>
      </w:r>
    </w:p>
    <w:p w:rsidR="00EC6D20" w:rsidRPr="00EC6D20" w:rsidRDefault="003518C4" w:rsidP="00EC6D20">
      <w:pPr>
        <w:pStyle w:val="ListParagraph"/>
        <w:numPr>
          <w:ilvl w:val="1"/>
          <w:numId w:val="38"/>
        </w:numPr>
        <w:shd w:val="clear" w:color="auto" w:fill="FFFFFF"/>
        <w:spacing w:before="120" w:after="120" w:line="240" w:lineRule="auto"/>
        <w:rPr>
          <w:rFonts w:ascii="Times New Roman" w:hAnsi="Times New Roman"/>
          <w:b/>
          <w:color w:val="000000"/>
          <w:sz w:val="24"/>
          <w:szCs w:val="24"/>
          <w:lang w:val="es-PR"/>
        </w:rPr>
      </w:pPr>
      <w:r w:rsidRPr="00B0003F">
        <w:rPr>
          <w:rFonts w:ascii="Times New Roman" w:hAnsi="Times New Roman"/>
          <w:color w:val="000000"/>
          <w:sz w:val="24"/>
          <w:szCs w:val="24"/>
          <w:lang w:val="es-PR"/>
        </w:rPr>
        <w:t>Toda persona, cualquier que sea la capacidad en que actúe, que efectúe distribuciones totales, según descritas anteriormente, a cualquier participante o beneficiario, deberá deducir y retener de dichas distribuciones una cantidad igual al veinte (20) o diez (10) por ciento, según aplique, del total de las mismas en exceso de las cantidades aportadas que ya hayan sido tributadas por dicho participante.</w:t>
      </w:r>
    </w:p>
    <w:p w:rsidR="00EC6D20" w:rsidRPr="00EC6D20" w:rsidRDefault="003518C4" w:rsidP="00EC6D20">
      <w:pPr>
        <w:pStyle w:val="ListParagraph"/>
        <w:numPr>
          <w:ilvl w:val="1"/>
          <w:numId w:val="38"/>
        </w:numPr>
        <w:shd w:val="clear" w:color="auto" w:fill="FFFFFF"/>
        <w:spacing w:before="120" w:after="120" w:line="240" w:lineRule="auto"/>
        <w:rPr>
          <w:rFonts w:ascii="Times New Roman" w:hAnsi="Times New Roman"/>
          <w:b/>
          <w:color w:val="000000"/>
          <w:sz w:val="24"/>
          <w:szCs w:val="24"/>
          <w:lang w:val="es-PR"/>
        </w:rPr>
      </w:pPr>
      <w:r w:rsidRPr="00EC6D20">
        <w:rPr>
          <w:rFonts w:ascii="Times New Roman" w:hAnsi="Times New Roman"/>
          <w:color w:val="000000"/>
          <w:sz w:val="24"/>
          <w:szCs w:val="24"/>
          <w:lang w:val="es-PR"/>
        </w:rPr>
        <w:t>Si el agente retenedor, en violación a las disposiciones de ley, dejare de hacer la referida retención, la cantidad que debió ser deducida y retenida (a menos que el receptor de la distribución pague al Secretario la contribución) será cobrada al agente retenedor siguiendo el mismo procedimiento que se utilizaría si se tratare de contribución adeudada por el agente retenedor.</w:t>
      </w:r>
    </w:p>
    <w:p w:rsidR="003518C4" w:rsidRPr="00A305D3" w:rsidRDefault="003518C4" w:rsidP="00EC6D20">
      <w:pPr>
        <w:pStyle w:val="ListParagraph"/>
        <w:numPr>
          <w:ilvl w:val="1"/>
          <w:numId w:val="38"/>
        </w:numPr>
        <w:shd w:val="clear" w:color="auto" w:fill="FFFFFF"/>
        <w:spacing w:before="120" w:after="120" w:line="240" w:lineRule="auto"/>
        <w:rPr>
          <w:rFonts w:ascii="Times New Roman" w:hAnsi="Times New Roman"/>
          <w:b/>
          <w:color w:val="000000"/>
          <w:sz w:val="24"/>
          <w:szCs w:val="24"/>
          <w:lang w:val="es-PR"/>
        </w:rPr>
      </w:pPr>
      <w:r w:rsidRPr="00EC6D20">
        <w:rPr>
          <w:rFonts w:ascii="Times New Roman" w:hAnsi="Times New Roman"/>
          <w:color w:val="000000"/>
          <w:sz w:val="24"/>
          <w:szCs w:val="24"/>
          <w:lang w:val="es-PR"/>
        </w:rPr>
        <w:t xml:space="preserve">El agente retenedor será responsable ante el Secretario del pago de dicha contribución y no será responsable a ninguna otra persona por cualquier pago de ésta. Tendrá la obligación, además de rendir una Declaración Informativa- Planes de Retiro y Anualidades (Formulario 487.7C) con relación a dicha contribución, no más tarde del 30 de agosto siguiente al año contributivo correspondiente para informar aportaciones y otras transacciones o eventos relacionados con el plan o anualidad. No obstante, la declaración deberá entregarse no más tarde del 28 de febrero siguiente al año contributivo correspondiente para informar distribuciones del plan o anualidad. </w:t>
      </w:r>
    </w:p>
    <w:p w:rsidR="00CE26C8" w:rsidRPr="00404919" w:rsidRDefault="00A305D3" w:rsidP="00404919">
      <w:pPr>
        <w:pStyle w:val="ListParagraph"/>
        <w:numPr>
          <w:ilvl w:val="0"/>
          <w:numId w:val="38"/>
        </w:numPr>
        <w:spacing w:before="120" w:after="120"/>
        <w:rPr>
          <w:rFonts w:ascii="Times New Roman" w:hAnsi="Times New Roman"/>
          <w:sz w:val="24"/>
          <w:lang w:val="es-PR"/>
        </w:rPr>
      </w:pPr>
      <w:r w:rsidRPr="00A305D3">
        <w:rPr>
          <w:rFonts w:ascii="Times New Roman" w:hAnsi="Times New Roman"/>
          <w:sz w:val="24"/>
          <w:lang w:val="es-PR"/>
        </w:rPr>
        <w:t xml:space="preserve">Estas distribuciones aparecen informadas en la Declaración Informativa - Planes de Retiro y Anualidades (Formulario 480.7C). </w:t>
      </w:r>
    </w:p>
    <w:p w:rsidR="00A305D3" w:rsidRDefault="00A305D3" w:rsidP="00A305D3">
      <w:pPr>
        <w:pStyle w:val="ListParagraph"/>
        <w:numPr>
          <w:ilvl w:val="0"/>
          <w:numId w:val="38"/>
        </w:numPr>
        <w:spacing w:before="120" w:after="120"/>
        <w:rPr>
          <w:rFonts w:ascii="Times New Roman" w:hAnsi="Times New Roman"/>
          <w:b/>
          <w:sz w:val="24"/>
          <w:lang w:val="es-PR"/>
        </w:rPr>
      </w:pPr>
      <w:r w:rsidRPr="00EC6D20">
        <w:rPr>
          <w:rFonts w:ascii="Times New Roman" w:hAnsi="Times New Roman"/>
          <w:b/>
          <w:sz w:val="24"/>
          <w:lang w:val="es-PR"/>
        </w:rPr>
        <w:t> El participante o beneficiario del plan informará esta distribución en la Planilla:</w:t>
      </w:r>
    </w:p>
    <w:p w:rsidR="00A305D3" w:rsidRPr="00EC6D20" w:rsidRDefault="00A305D3" w:rsidP="00A305D3">
      <w:pPr>
        <w:pStyle w:val="ListParagraph"/>
        <w:numPr>
          <w:ilvl w:val="1"/>
          <w:numId w:val="38"/>
        </w:numPr>
        <w:spacing w:before="120" w:after="120"/>
        <w:rPr>
          <w:rFonts w:ascii="Times New Roman" w:hAnsi="Times New Roman"/>
          <w:sz w:val="24"/>
          <w:lang w:val="es-PR"/>
        </w:rPr>
      </w:pPr>
      <w:r w:rsidRPr="00471EC1">
        <w:rPr>
          <w:rFonts w:ascii="Times New Roman" w:hAnsi="Times New Roman"/>
          <w:sz w:val="24"/>
          <w:lang w:val="es-PR"/>
        </w:rPr>
        <w:t>Regla general 20%:</w:t>
      </w:r>
      <w:r>
        <w:rPr>
          <w:rFonts w:ascii="Times New Roman" w:hAnsi="Times New Roman"/>
          <w:sz w:val="24"/>
          <w:lang w:val="es-PR"/>
        </w:rPr>
        <w:t xml:space="preserve"> </w:t>
      </w:r>
      <w:r w:rsidRPr="00EC6D20">
        <w:rPr>
          <w:rFonts w:ascii="Times New Roman" w:hAnsi="Times New Roman"/>
          <w:sz w:val="24"/>
          <w:lang w:val="es-PR"/>
        </w:rPr>
        <w:t>Anejo D, Parte V, Línea 33 (Contribuyente) o 34 (Cónyuge), según aplique, cuando tribute al 20%.</w:t>
      </w:r>
    </w:p>
    <w:p w:rsidR="00A305D3" w:rsidRDefault="00A305D3" w:rsidP="00A305D3">
      <w:pPr>
        <w:pStyle w:val="ListParagraph"/>
        <w:numPr>
          <w:ilvl w:val="1"/>
          <w:numId w:val="38"/>
        </w:numPr>
        <w:spacing w:before="120" w:after="120"/>
        <w:rPr>
          <w:rFonts w:ascii="Times New Roman" w:hAnsi="Times New Roman"/>
          <w:sz w:val="24"/>
          <w:lang w:val="es-PR"/>
        </w:rPr>
      </w:pPr>
      <w:r w:rsidRPr="00471EC1">
        <w:rPr>
          <w:rFonts w:ascii="Times New Roman" w:hAnsi="Times New Roman"/>
          <w:sz w:val="24"/>
          <w:lang w:val="es-PR"/>
        </w:rPr>
        <w:t>Distribuciones de ciertos fideicomisos que cumplan con ciertos requisitos</w:t>
      </w:r>
      <w:r w:rsidRPr="00923A12">
        <w:rPr>
          <w:rFonts w:ascii="Times New Roman" w:hAnsi="Times New Roman"/>
          <w:b/>
          <w:sz w:val="24"/>
          <w:lang w:val="es-PR"/>
        </w:rPr>
        <w:t xml:space="preserve"> </w:t>
      </w:r>
      <w:r w:rsidRPr="00471EC1">
        <w:rPr>
          <w:rFonts w:ascii="Times New Roman" w:hAnsi="Times New Roman"/>
          <w:sz w:val="24"/>
          <w:lang w:val="es-PR"/>
        </w:rPr>
        <w:t>10%:</w:t>
      </w:r>
      <w:r>
        <w:rPr>
          <w:rFonts w:ascii="Times New Roman" w:hAnsi="Times New Roman"/>
          <w:sz w:val="24"/>
          <w:lang w:val="es-PR"/>
        </w:rPr>
        <w:t xml:space="preserve"> </w:t>
      </w:r>
      <w:r w:rsidRPr="00EC6D20">
        <w:rPr>
          <w:rFonts w:ascii="Times New Roman" w:hAnsi="Times New Roman"/>
          <w:sz w:val="24"/>
          <w:lang w:val="es-PR"/>
        </w:rPr>
        <w:t xml:space="preserve">Anejo D, Parte V, Línea 35 (Contribuyente) o 36 (Cónyuge), según aplique, cuando tribute al 10%. </w:t>
      </w:r>
    </w:p>
    <w:p w:rsidR="00A305D3" w:rsidRPr="00923A12" w:rsidRDefault="00A305D3" w:rsidP="00A305D3">
      <w:pPr>
        <w:pStyle w:val="ListParagraph"/>
        <w:numPr>
          <w:ilvl w:val="1"/>
          <w:numId w:val="38"/>
        </w:numPr>
        <w:spacing w:before="120" w:after="120"/>
        <w:rPr>
          <w:rFonts w:ascii="Times New Roman" w:hAnsi="Times New Roman"/>
          <w:sz w:val="24"/>
          <w:lang w:val="es-PR"/>
        </w:rPr>
      </w:pPr>
      <w:r w:rsidRPr="00471EC1">
        <w:rPr>
          <w:rFonts w:ascii="Times New Roman" w:hAnsi="Times New Roman"/>
          <w:sz w:val="24"/>
          <w:lang w:val="es-PR"/>
        </w:rPr>
        <w:lastRenderedPageBreak/>
        <w:t>Pago por adelantado:</w:t>
      </w:r>
      <w:r w:rsidRPr="00923A12">
        <w:rPr>
          <w:rFonts w:ascii="Times New Roman" w:hAnsi="Times New Roman"/>
          <w:color w:val="000000"/>
          <w:sz w:val="24"/>
          <w:szCs w:val="24"/>
          <w:lang w:val="es-PR"/>
        </w:rPr>
        <w:t xml:space="preserve"> El participante o beneficiario del </w:t>
      </w:r>
      <w:r w:rsidRPr="00471EC1">
        <w:rPr>
          <w:rFonts w:ascii="Times New Roman" w:hAnsi="Times New Roman"/>
          <w:color w:val="000000"/>
          <w:sz w:val="24"/>
          <w:szCs w:val="24"/>
          <w:lang w:val="es-PR"/>
        </w:rPr>
        <w:t>plan de pago por adelantado</w:t>
      </w:r>
      <w:r w:rsidRPr="00923A12">
        <w:rPr>
          <w:rFonts w:ascii="Times New Roman" w:hAnsi="Times New Roman"/>
          <w:color w:val="000000"/>
          <w:sz w:val="24"/>
          <w:szCs w:val="24"/>
          <w:lang w:val="es-PR"/>
        </w:rPr>
        <w:t xml:space="preserve"> informará esta distribución como base en el Anejo D, Parte V, Columna B, según corresponda y ennegrecerá el óvalo de Pago por adelantado en la línea correspondiente (Líneas 33 a la 36).</w:t>
      </w:r>
    </w:p>
    <w:p w:rsidR="00A305D3" w:rsidRPr="0062643D" w:rsidRDefault="00A305D3" w:rsidP="0062643D">
      <w:pPr>
        <w:pStyle w:val="ListParagraph"/>
        <w:numPr>
          <w:ilvl w:val="1"/>
          <w:numId w:val="38"/>
        </w:numPr>
        <w:spacing w:before="120" w:after="120"/>
        <w:jc w:val="both"/>
        <w:rPr>
          <w:rFonts w:ascii="Times New Roman" w:hAnsi="Times New Roman"/>
          <w:color w:val="000000"/>
          <w:sz w:val="24"/>
          <w:szCs w:val="24"/>
          <w:lang w:val="es-PR"/>
        </w:rPr>
      </w:pPr>
      <w:r w:rsidRPr="00A305D3">
        <w:rPr>
          <w:rFonts w:ascii="Times New Roman" w:hAnsi="Times New Roman"/>
          <w:sz w:val="24"/>
          <w:lang w:val="es-PR"/>
        </w:rPr>
        <w:t>La contribución retenida como Regla general 20% y Distribuciones de ciertos fideicomisos que cumplan con ciertos requisitos 10% se informará en el Anejo B Individuo, Parte III, Línea</w:t>
      </w:r>
      <w:r w:rsidRPr="00A305D3">
        <w:rPr>
          <w:rFonts w:ascii="Times New Roman" w:hAnsi="Times New Roman"/>
          <w:sz w:val="24"/>
          <w:lang w:val="es-ES"/>
        </w:rPr>
        <w:t xml:space="preserve"> 15.</w:t>
      </w:r>
    </w:p>
    <w:p w:rsidR="00A305D3" w:rsidRPr="00A305D3" w:rsidRDefault="00A305D3" w:rsidP="00A305D3">
      <w:pPr>
        <w:shd w:val="clear" w:color="auto" w:fill="FFFFFF"/>
        <w:spacing w:before="120" w:after="120" w:line="240" w:lineRule="auto"/>
        <w:rPr>
          <w:rFonts w:ascii="Times New Roman" w:hAnsi="Times New Roman"/>
          <w:b/>
          <w:color w:val="000000"/>
          <w:sz w:val="24"/>
          <w:szCs w:val="24"/>
          <w:lang w:val="es-PR"/>
        </w:rPr>
      </w:pPr>
      <w:r>
        <w:rPr>
          <w:rFonts w:ascii="Times New Roman" w:hAnsi="Times New Roman"/>
          <w:b/>
          <w:noProof/>
          <w:color w:val="000000"/>
          <w:sz w:val="24"/>
          <w:szCs w:val="24"/>
        </w:rPr>
        <w:drawing>
          <wp:inline distT="0" distB="0" distL="0" distR="0">
            <wp:extent cx="5940425" cy="1266825"/>
            <wp:effectExtent l="19050" t="0" r="3175" b="0"/>
            <wp:docPr id="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srcRect/>
                    <a:stretch>
                      <a:fillRect/>
                    </a:stretch>
                  </pic:blipFill>
                  <pic:spPr bwMode="auto">
                    <a:xfrm>
                      <a:off x="0" y="0"/>
                      <a:ext cx="5940425" cy="1266825"/>
                    </a:xfrm>
                    <a:prstGeom prst="rect">
                      <a:avLst/>
                    </a:prstGeom>
                    <a:noFill/>
                  </pic:spPr>
                </pic:pic>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31507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71AFD">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71AFD">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87130E" w:rsidRPr="0087130E" w:rsidRDefault="006C4FDA" w:rsidP="00CC266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3" w:history="1">
        <w:r w:rsidR="0087130E">
          <w:rPr>
            <w:rStyle w:val="Hyperlink"/>
            <w:rFonts w:ascii="Times New Roman" w:hAnsi="Times New Roman"/>
            <w:sz w:val="24"/>
            <w:szCs w:val="24"/>
            <w:lang w:val="es-PR"/>
          </w:rPr>
          <w:t>Có</w:t>
        </w:r>
        <w:r w:rsidR="0087130E" w:rsidRPr="00786D35">
          <w:rPr>
            <w:rStyle w:val="Hyperlink"/>
            <w:rFonts w:ascii="Times New Roman" w:hAnsi="Times New Roman"/>
            <w:sz w:val="24"/>
            <w:szCs w:val="24"/>
            <w:lang w:val="es-PR"/>
          </w:rPr>
          <w:t>digo de Rentas Internas para un Nuevo Puerto Rico</w:t>
        </w:r>
      </w:hyperlink>
    </w:p>
    <w:p w:rsidR="00E24E04" w:rsidRPr="002E41F1" w:rsidRDefault="00E24E04" w:rsidP="00404919">
      <w:pPr>
        <w:pStyle w:val="ListParagraph"/>
        <w:numPr>
          <w:ilvl w:val="1"/>
          <w:numId w:val="34"/>
        </w:numPr>
        <w:shd w:val="clear" w:color="auto" w:fill="FFFFFF"/>
        <w:spacing w:before="120" w:after="120" w:line="240" w:lineRule="auto"/>
        <w:rPr>
          <w:rFonts w:ascii="Times New Roman" w:hAnsi="Times New Roman"/>
          <w:color w:val="000000"/>
          <w:sz w:val="24"/>
          <w:szCs w:val="24"/>
          <w:lang w:val="es-PR"/>
        </w:rPr>
      </w:pPr>
      <w:r w:rsidRPr="002E41F1">
        <w:rPr>
          <w:rFonts w:ascii="Times New Roman" w:hAnsi="Times New Roman"/>
          <w:color w:val="000000"/>
          <w:sz w:val="24"/>
          <w:szCs w:val="24"/>
          <w:lang w:val="es-PR"/>
        </w:rPr>
        <w:t>Sección 1081.01</w:t>
      </w:r>
    </w:p>
    <w:p w:rsidR="003518C4" w:rsidRPr="0087130E" w:rsidRDefault="00612C4E" w:rsidP="00404919">
      <w:pPr>
        <w:pStyle w:val="ListParagraph"/>
        <w:numPr>
          <w:ilvl w:val="1"/>
          <w:numId w:val="34"/>
        </w:numPr>
        <w:shd w:val="clear" w:color="auto" w:fill="FFFFFF"/>
        <w:spacing w:before="120" w:after="120" w:line="240" w:lineRule="auto"/>
        <w:rPr>
          <w:rFonts w:ascii="Times New Roman" w:hAnsi="Times New Roman"/>
          <w:color w:val="000000"/>
          <w:sz w:val="24"/>
          <w:szCs w:val="24"/>
          <w:lang w:val="es-PR"/>
        </w:rPr>
      </w:pPr>
      <w:r w:rsidRPr="002E41F1">
        <w:rPr>
          <w:rFonts w:ascii="Times New Roman" w:hAnsi="Times New Roman"/>
          <w:color w:val="000000"/>
          <w:sz w:val="24"/>
          <w:szCs w:val="24"/>
          <w:lang w:val="es-PR"/>
        </w:rPr>
        <w:t>Sección 1081.01 (b) (1)</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31507B"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071AFD"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C81510" w:rsidRPr="00EA23AC">
              <w:rPr>
                <w:rFonts w:ascii="Times New Roman" w:eastAsiaTheme="minorHAnsi" w:hAnsi="Times New Roman"/>
                <w:b/>
                <w:sz w:val="28"/>
                <w:szCs w:val="28"/>
                <w:lang w:val="es-PR"/>
              </w:rPr>
              <w:t>ago</w:t>
            </w:r>
          </w:p>
        </w:tc>
      </w:tr>
    </w:tbl>
    <w:p w:rsidR="001E5F9F" w:rsidRPr="00EA23AC" w:rsidRDefault="002E41F1" w:rsidP="00A25135">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31507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3518C4" w:rsidRDefault="003518C4"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3518C4" w:rsidRPr="00B96F57" w:rsidRDefault="003518C4" w:rsidP="003518C4">
      <w:pPr>
        <w:pStyle w:val="ListParagraph"/>
        <w:shd w:val="clear" w:color="auto" w:fill="FFFFFF"/>
        <w:spacing w:before="120" w:after="120" w:line="240" w:lineRule="auto"/>
        <w:ind w:hanging="360"/>
        <w:rPr>
          <w:rFonts w:ascii="Times New Roman" w:hAnsi="Times New Roman"/>
          <w:color w:val="000000"/>
          <w:sz w:val="16"/>
          <w:szCs w:val="16"/>
          <w:lang w:val="es-PR"/>
        </w:rPr>
      </w:pPr>
    </w:p>
    <w:p w:rsidR="003518C4" w:rsidRDefault="003518C4"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3518C4" w:rsidRDefault="003518C4" w:rsidP="003518C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3518C4" w:rsidRPr="00B96F57" w:rsidRDefault="003518C4" w:rsidP="003518C4">
      <w:pPr>
        <w:pStyle w:val="ListParagraph"/>
        <w:shd w:val="clear" w:color="auto" w:fill="FFFFFF"/>
        <w:spacing w:before="120" w:after="120" w:line="240" w:lineRule="auto"/>
        <w:ind w:hanging="360"/>
        <w:rPr>
          <w:rFonts w:ascii="Times New Roman" w:hAnsi="Times New Roman"/>
          <w:color w:val="000000"/>
          <w:sz w:val="16"/>
          <w:szCs w:val="16"/>
          <w:lang w:val="es-PR"/>
        </w:rPr>
      </w:pPr>
    </w:p>
    <w:p w:rsidR="003518C4" w:rsidRDefault="003518C4"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3518C4" w:rsidRDefault="003518C4" w:rsidP="003518C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3518C4" w:rsidRDefault="003518C4" w:rsidP="003518C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3518C4" w:rsidRPr="00B96F57" w:rsidRDefault="003518C4" w:rsidP="003518C4">
      <w:pPr>
        <w:pStyle w:val="ListParagraph"/>
        <w:shd w:val="clear" w:color="auto" w:fill="FFFFFF"/>
        <w:spacing w:before="120" w:after="120" w:line="240" w:lineRule="auto"/>
        <w:ind w:hanging="360"/>
        <w:rPr>
          <w:rFonts w:ascii="Times New Roman" w:hAnsi="Times New Roman"/>
          <w:color w:val="000000"/>
          <w:sz w:val="16"/>
          <w:szCs w:val="16"/>
          <w:lang w:val="es-PR"/>
        </w:rPr>
      </w:pPr>
    </w:p>
    <w:p w:rsidR="003518C4" w:rsidRDefault="003518C4"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3518C4" w:rsidRPr="00B96F57" w:rsidRDefault="003518C4" w:rsidP="003518C4">
      <w:pPr>
        <w:pStyle w:val="ListParagraph"/>
        <w:shd w:val="clear" w:color="auto" w:fill="FFFFFF"/>
        <w:spacing w:before="120" w:after="120" w:line="240" w:lineRule="auto"/>
        <w:ind w:hanging="360"/>
        <w:rPr>
          <w:rFonts w:ascii="Times New Roman" w:hAnsi="Times New Roman"/>
          <w:color w:val="000000"/>
          <w:sz w:val="16"/>
          <w:szCs w:val="16"/>
          <w:lang w:val="es-PR"/>
        </w:rPr>
      </w:pPr>
    </w:p>
    <w:p w:rsidR="003518C4" w:rsidRPr="001A0C2B" w:rsidRDefault="006C4FDA"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6" w:history="1">
        <w:r w:rsidR="00071AFD">
          <w:rPr>
            <w:rStyle w:val="Hyperlink"/>
            <w:rFonts w:ascii="Times New Roman" w:hAnsi="Times New Roman"/>
            <w:sz w:val="24"/>
            <w:lang w:val="es-PR"/>
          </w:rPr>
          <w:t xml:space="preserve">Directorio de </w:t>
        </w:r>
        <w:r w:rsidR="0087130E">
          <w:rPr>
            <w:rStyle w:val="Hyperlink"/>
            <w:rFonts w:ascii="Times New Roman" w:hAnsi="Times New Roman"/>
            <w:sz w:val="24"/>
            <w:lang w:val="es-PR"/>
          </w:rPr>
          <w:t>Colecturí</w:t>
        </w:r>
        <w:r w:rsidR="0087130E" w:rsidRPr="001A0C2B">
          <w:rPr>
            <w:rStyle w:val="Hyperlink"/>
            <w:rFonts w:ascii="Times New Roman" w:hAnsi="Times New Roman"/>
            <w:sz w:val="24"/>
            <w:lang w:val="es-PR"/>
          </w:rPr>
          <w:t>a</w:t>
        </w:r>
      </w:hyperlink>
    </w:p>
    <w:p w:rsidR="003518C4" w:rsidRPr="001A0C2B" w:rsidRDefault="006C4FDA"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7" w:history="1">
        <w:r w:rsidR="003518C4" w:rsidRPr="001A0C2B">
          <w:rPr>
            <w:rStyle w:val="Hyperlink"/>
            <w:rFonts w:ascii="Times New Roman" w:hAnsi="Times New Roman"/>
            <w:sz w:val="24"/>
            <w:lang w:val="es-PR"/>
          </w:rPr>
          <w:t>Directorio de Distritos de Cobro</w:t>
        </w:r>
      </w:hyperlink>
    </w:p>
    <w:p w:rsidR="003518C4" w:rsidRPr="001A0C2B" w:rsidRDefault="006C4FDA" w:rsidP="003518C4">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8" w:history="1">
        <w:r w:rsidR="003518C4" w:rsidRPr="001A0C2B">
          <w:rPr>
            <w:rStyle w:val="Hyperlink"/>
            <w:rFonts w:ascii="Times New Roman" w:hAnsi="Times New Roman"/>
            <w:sz w:val="24"/>
            <w:lang w:val="es-PR"/>
          </w:rPr>
          <w:t>Directorio de Centros de Servicio</w:t>
        </w:r>
      </w:hyperlink>
    </w:p>
    <w:p w:rsidR="00A305D3" w:rsidRPr="0032757A" w:rsidRDefault="006C4FDA" w:rsidP="00A305D3">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9" w:history="1">
        <w:r w:rsidR="003518C4"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2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A305D3" w:rsidRPr="0048271E" w:rsidRDefault="00A305D3" w:rsidP="00A305D3">
      <w:pPr>
        <w:pStyle w:val="ListParagraph"/>
        <w:numPr>
          <w:ilvl w:val="0"/>
          <w:numId w:val="34"/>
        </w:numPr>
        <w:shd w:val="clear" w:color="auto" w:fill="FFFFFF"/>
        <w:spacing w:before="120" w:after="120" w:line="240" w:lineRule="auto"/>
        <w:rPr>
          <w:rFonts w:ascii="Times New Roman" w:hAnsi="Times New Roman"/>
          <w:color w:val="000000"/>
          <w:sz w:val="24"/>
          <w:szCs w:val="24"/>
          <w:u w:val="single"/>
          <w:lang w:val="es-PR"/>
        </w:rPr>
      </w:pPr>
      <w:r w:rsidRPr="0048271E">
        <w:rPr>
          <w:rFonts w:ascii="Times New Roman" w:hAnsi="Times New Roman"/>
          <w:color w:val="000000"/>
          <w:sz w:val="24"/>
          <w:szCs w:val="24"/>
          <w:u w:val="single"/>
          <w:lang w:val="es-PR"/>
        </w:rPr>
        <w:t>A</w:t>
      </w:r>
      <w:r w:rsidR="00071AFD">
        <w:rPr>
          <w:rFonts w:ascii="Times New Roman" w:hAnsi="Times New Roman"/>
          <w:color w:val="000000"/>
          <w:sz w:val="24"/>
          <w:szCs w:val="24"/>
          <w:u w:val="single"/>
          <w:lang w:val="es-PR"/>
        </w:rPr>
        <w:t xml:space="preserve">nejo D Individuo: Ganancias y </w:t>
      </w:r>
      <w:proofErr w:type="spellStart"/>
      <w:r w:rsidR="00071AFD">
        <w:rPr>
          <w:rFonts w:ascii="Times New Roman" w:hAnsi="Times New Roman"/>
          <w:color w:val="000000"/>
          <w:sz w:val="24"/>
          <w:szCs w:val="24"/>
          <w:u w:val="single"/>
          <w:lang w:val="es-PR"/>
        </w:rPr>
        <w:t>Pe</w:t>
      </w:r>
      <w:r w:rsidRPr="0048271E">
        <w:rPr>
          <w:rFonts w:ascii="Times New Roman" w:hAnsi="Times New Roman"/>
          <w:color w:val="000000"/>
          <w:sz w:val="24"/>
          <w:szCs w:val="24"/>
          <w:u w:val="single"/>
          <w:lang w:val="es-PR"/>
        </w:rPr>
        <w:t>rdidas</w:t>
      </w:r>
      <w:proofErr w:type="spellEnd"/>
      <w:r w:rsidRPr="0048271E">
        <w:rPr>
          <w:rFonts w:ascii="Times New Roman" w:hAnsi="Times New Roman"/>
          <w:color w:val="000000"/>
          <w:sz w:val="24"/>
          <w:szCs w:val="24"/>
          <w:u w:val="single"/>
          <w:lang w:val="es-PR"/>
        </w:rPr>
        <w:t xml:space="preserve"> de Activos de Capital, Distribuciones Totales de Planes de Retiro Cualificados y Cuentas de Anualidad Variable</w:t>
      </w:r>
    </w:p>
    <w:p w:rsidR="00A305D3" w:rsidRPr="0048271E" w:rsidRDefault="00A305D3" w:rsidP="00A305D3">
      <w:pPr>
        <w:pStyle w:val="ListParagraph"/>
        <w:numPr>
          <w:ilvl w:val="0"/>
          <w:numId w:val="34"/>
        </w:numPr>
        <w:shd w:val="clear" w:color="auto" w:fill="FFFFFF"/>
        <w:spacing w:before="120" w:after="120" w:line="240" w:lineRule="auto"/>
        <w:rPr>
          <w:rFonts w:ascii="Times New Roman" w:hAnsi="Times New Roman"/>
          <w:color w:val="000000"/>
          <w:sz w:val="24"/>
          <w:szCs w:val="24"/>
          <w:u w:val="single"/>
          <w:lang w:val="es-PR"/>
        </w:rPr>
      </w:pPr>
      <w:r w:rsidRPr="0048271E">
        <w:rPr>
          <w:rFonts w:ascii="Times New Roman" w:hAnsi="Times New Roman"/>
          <w:color w:val="000000"/>
          <w:sz w:val="24"/>
          <w:szCs w:val="24"/>
          <w:u w:val="single"/>
          <w:lang w:val="es-PR"/>
        </w:rPr>
        <w:t>Anejo B Individuo: Recobro de Cr</w:t>
      </w:r>
      <w:r w:rsidR="00071AFD">
        <w:rPr>
          <w:rFonts w:ascii="Times New Roman" w:hAnsi="Times New Roman"/>
          <w:color w:val="000000"/>
          <w:sz w:val="24"/>
          <w:szCs w:val="24"/>
          <w:u w:val="single"/>
          <w:lang w:val="es-PR"/>
        </w:rPr>
        <w:t xml:space="preserve">éditos Reclamados en Exceso, </w:t>
      </w:r>
      <w:proofErr w:type="spellStart"/>
      <w:r w:rsidR="00071AFD">
        <w:rPr>
          <w:rFonts w:ascii="Times New Roman" w:hAnsi="Times New Roman"/>
          <w:color w:val="000000"/>
          <w:sz w:val="24"/>
          <w:szCs w:val="24"/>
          <w:u w:val="single"/>
          <w:lang w:val="es-PR"/>
        </w:rPr>
        <w:t>Cre</w:t>
      </w:r>
      <w:r w:rsidRPr="0048271E">
        <w:rPr>
          <w:rFonts w:ascii="Times New Roman" w:hAnsi="Times New Roman"/>
          <w:color w:val="000000"/>
          <w:sz w:val="24"/>
          <w:szCs w:val="24"/>
          <w:u w:val="single"/>
          <w:lang w:val="es-PR"/>
        </w:rPr>
        <w:t>ditos</w:t>
      </w:r>
      <w:proofErr w:type="spellEnd"/>
      <w:r w:rsidRPr="0048271E">
        <w:rPr>
          <w:rFonts w:ascii="Times New Roman" w:hAnsi="Times New Roman"/>
          <w:color w:val="000000"/>
          <w:sz w:val="24"/>
          <w:szCs w:val="24"/>
          <w:u w:val="single"/>
          <w:lang w:val="es-PR"/>
        </w:rPr>
        <w:t xml:space="preserve"> Contributivos y Otros Pagos y Retenciones</w:t>
      </w:r>
    </w:p>
    <w:p w:rsidR="00A305D3" w:rsidRPr="00013FC9" w:rsidRDefault="006C4FDA" w:rsidP="00A305D3">
      <w:pPr>
        <w:pStyle w:val="ListParagraph"/>
        <w:numPr>
          <w:ilvl w:val="0"/>
          <w:numId w:val="34"/>
        </w:numPr>
        <w:spacing w:before="120" w:after="120" w:line="240" w:lineRule="auto"/>
        <w:jc w:val="both"/>
        <w:rPr>
          <w:rFonts w:ascii="Times New Roman" w:hAnsi="Times New Roman"/>
          <w:sz w:val="24"/>
          <w:szCs w:val="24"/>
          <w:lang w:val="es-PR"/>
        </w:rPr>
      </w:pPr>
      <w:hyperlink r:id="rId21" w:history="1">
        <w:r w:rsidR="00A305D3">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3518C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EC6D20" w:rsidRPr="00A305D3" w:rsidRDefault="00EC6D20" w:rsidP="00EC6D20">
      <w:pPr>
        <w:pStyle w:val="ListParagraph"/>
        <w:numPr>
          <w:ilvl w:val="0"/>
          <w:numId w:val="44"/>
        </w:numPr>
        <w:spacing w:before="120" w:after="120"/>
        <w:rPr>
          <w:rFonts w:ascii="Times New Roman" w:hAnsi="Times New Roman"/>
          <w:sz w:val="24"/>
          <w:szCs w:val="24"/>
          <w:lang w:val="es-PR"/>
        </w:rPr>
      </w:pPr>
      <w:r w:rsidRPr="00A305D3">
        <w:rPr>
          <w:rFonts w:ascii="Times New Roman" w:hAnsi="Times New Roman"/>
          <w:b/>
          <w:bCs/>
          <w:sz w:val="24"/>
          <w:szCs w:val="24"/>
          <w:lang w:val="es-PR"/>
        </w:rPr>
        <w:t xml:space="preserve">¿Cuándo un Plan de Retiro se considera Cualificado? </w:t>
      </w:r>
      <w:r w:rsidR="008575C5" w:rsidRPr="00A305D3">
        <w:rPr>
          <w:rFonts w:ascii="Times New Roman" w:hAnsi="Times New Roman"/>
          <w:sz w:val="24"/>
          <w:szCs w:val="24"/>
          <w:lang w:val="es-PR"/>
        </w:rPr>
        <w:t>En general, un acuerdo o plan se considerara cualificado cuando el patrono somete ante el Departamento una solicitud de determinación administrativa sobre la cualificación del plan bajo las disposiciones de la Sección 1081.01 del Código.</w:t>
      </w:r>
      <w:r w:rsidRPr="00A305D3">
        <w:rPr>
          <w:rFonts w:ascii="Times New Roman" w:hAnsi="Times New Roman"/>
          <w:sz w:val="24"/>
          <w:szCs w:val="24"/>
          <w:lang w:val="es-PR"/>
        </w:rPr>
        <w:t xml:space="preserve"> </w:t>
      </w:r>
      <w:r w:rsidR="008575C5" w:rsidRPr="00A305D3">
        <w:rPr>
          <w:rFonts w:ascii="Times New Roman" w:hAnsi="Times New Roman"/>
          <w:sz w:val="24"/>
          <w:szCs w:val="24"/>
          <w:lang w:val="es-PR"/>
        </w:rPr>
        <w:t xml:space="preserve">Una vez el Departamento </w:t>
      </w:r>
      <w:r w:rsidR="008575C5" w:rsidRPr="00A305D3">
        <w:rPr>
          <w:rFonts w:ascii="Times New Roman" w:hAnsi="Times New Roman"/>
          <w:bCs/>
          <w:sz w:val="24"/>
          <w:szCs w:val="24"/>
          <w:lang w:val="es-PR"/>
        </w:rPr>
        <w:t>aprueba</w:t>
      </w:r>
      <w:r w:rsidR="008575C5" w:rsidRPr="00A305D3">
        <w:rPr>
          <w:rFonts w:ascii="Times New Roman" w:hAnsi="Times New Roman"/>
          <w:sz w:val="24"/>
          <w:szCs w:val="24"/>
          <w:lang w:val="es-PR"/>
        </w:rPr>
        <w:t xml:space="preserve">, el mismo se considerará </w:t>
      </w:r>
      <w:r w:rsidR="008575C5" w:rsidRPr="00A305D3">
        <w:rPr>
          <w:rFonts w:ascii="Times New Roman" w:hAnsi="Times New Roman"/>
          <w:bCs/>
          <w:sz w:val="24"/>
          <w:szCs w:val="24"/>
          <w:lang w:val="es-PR"/>
        </w:rPr>
        <w:t>cualificado</w:t>
      </w:r>
      <w:r w:rsidR="008575C5" w:rsidRPr="00A305D3">
        <w:rPr>
          <w:rFonts w:ascii="Times New Roman" w:hAnsi="Times New Roman"/>
          <w:sz w:val="24"/>
          <w:szCs w:val="24"/>
          <w:lang w:val="es-PR"/>
        </w:rPr>
        <w:t>.</w:t>
      </w:r>
      <w:r w:rsidR="00A305D3">
        <w:rPr>
          <w:rFonts w:ascii="Times New Roman" w:hAnsi="Times New Roman"/>
          <w:sz w:val="24"/>
          <w:szCs w:val="24"/>
          <w:lang w:val="es-PR"/>
        </w:rPr>
        <w:t xml:space="preserve"> </w:t>
      </w:r>
      <w:r w:rsidR="008575C5" w:rsidRPr="00A305D3">
        <w:rPr>
          <w:rFonts w:ascii="Times New Roman" w:hAnsi="Times New Roman"/>
          <w:sz w:val="24"/>
          <w:szCs w:val="24"/>
          <w:lang w:val="es-PR"/>
        </w:rPr>
        <w:t xml:space="preserve">En el caso que el Departamento </w:t>
      </w:r>
      <w:r w:rsidR="008575C5" w:rsidRPr="00A305D3">
        <w:rPr>
          <w:rFonts w:ascii="Times New Roman" w:hAnsi="Times New Roman"/>
          <w:bCs/>
          <w:sz w:val="24"/>
          <w:szCs w:val="24"/>
          <w:lang w:val="es-PR"/>
        </w:rPr>
        <w:t>no lo apruebe</w:t>
      </w:r>
      <w:r w:rsidR="008575C5" w:rsidRPr="00A305D3">
        <w:rPr>
          <w:rFonts w:ascii="Times New Roman" w:hAnsi="Times New Roman"/>
          <w:sz w:val="24"/>
          <w:szCs w:val="24"/>
          <w:lang w:val="es-PR"/>
        </w:rPr>
        <w:t xml:space="preserve">, el mismo se considerará </w:t>
      </w:r>
      <w:r w:rsidR="008575C5" w:rsidRPr="00A305D3">
        <w:rPr>
          <w:rFonts w:ascii="Times New Roman" w:hAnsi="Times New Roman"/>
          <w:bCs/>
          <w:sz w:val="24"/>
          <w:szCs w:val="24"/>
          <w:lang w:val="es-PR"/>
        </w:rPr>
        <w:t>no cualificado</w:t>
      </w:r>
      <w:r w:rsidR="008575C5" w:rsidRPr="00A305D3">
        <w:rPr>
          <w:rFonts w:ascii="Times New Roman" w:hAnsi="Times New Roman"/>
          <w:sz w:val="24"/>
          <w:szCs w:val="24"/>
          <w:lang w:val="es-PR"/>
        </w:rPr>
        <w:t xml:space="preserve">. </w:t>
      </w:r>
      <w:r w:rsidRPr="00A305D3">
        <w:rPr>
          <w:rFonts w:ascii="Times New Roman" w:hAnsi="Times New Roman"/>
          <w:sz w:val="24"/>
          <w:szCs w:val="24"/>
          <w:lang w:val="es-PR"/>
        </w:rPr>
        <w:t xml:space="preserve">El hecho de que un plan sea cualificado bajo dicha Sección permite, tanto al patrono como al empleado, acogerse a ciertos beneficios contributivos. </w:t>
      </w:r>
    </w:p>
    <w:p w:rsidR="00EC6D20" w:rsidRPr="00EC6D20" w:rsidRDefault="00EC6D20" w:rsidP="00471EC1">
      <w:pPr>
        <w:pStyle w:val="ListParagraph"/>
        <w:spacing w:before="120" w:after="120"/>
        <w:rPr>
          <w:rFonts w:ascii="Times New Roman" w:hAnsi="Times New Roman"/>
          <w:lang w:val="es-PR"/>
        </w:rPr>
      </w:pPr>
    </w:p>
    <w:p w:rsidR="001E5F9F" w:rsidRPr="00EC6D20" w:rsidRDefault="001E5F9F" w:rsidP="00EC6D20">
      <w:pPr>
        <w:pStyle w:val="ListParagraph"/>
        <w:spacing w:before="120" w:after="120" w:line="240" w:lineRule="auto"/>
        <w:rPr>
          <w:rFonts w:ascii="Times New Roman" w:hAnsi="Times New Roman"/>
          <w:lang w:val="es-PR"/>
        </w:rPr>
      </w:pPr>
    </w:p>
    <w:sectPr w:rsidR="001E5F9F" w:rsidRPr="00EC6D20" w:rsidSect="00CE26C8">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9A" w:rsidRDefault="009A559A" w:rsidP="005501A9">
      <w:pPr>
        <w:spacing w:after="0" w:line="240" w:lineRule="auto"/>
      </w:pPr>
      <w:r>
        <w:separator/>
      </w:r>
    </w:p>
  </w:endnote>
  <w:endnote w:type="continuationSeparator" w:id="0">
    <w:p w:rsidR="009A559A" w:rsidRDefault="009A559A"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0D" w:rsidRDefault="006840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B82460" w:rsidRPr="0031507B" w:rsidTr="00B82460">
      <w:tc>
        <w:tcPr>
          <w:tcW w:w="918" w:type="dxa"/>
          <w:tcBorders>
            <w:top w:val="single" w:sz="18" w:space="0" w:color="808080" w:themeColor="background1" w:themeShade="80"/>
            <w:left w:val="nil"/>
            <w:bottom w:val="nil"/>
            <w:right w:val="single" w:sz="18" w:space="0" w:color="808080" w:themeColor="background1" w:themeShade="80"/>
          </w:tcBorders>
          <w:hideMark/>
        </w:tcPr>
        <w:p w:rsidR="00B82460" w:rsidRDefault="00B82460">
          <w:pPr>
            <w:pStyle w:val="Footer"/>
            <w:jc w:val="right"/>
            <w:rPr>
              <w:b/>
              <w:color w:val="4F81BD" w:themeColor="accent1"/>
              <w:sz w:val="32"/>
              <w:szCs w:val="32"/>
            </w:rPr>
          </w:pPr>
          <w:r>
            <w:rPr>
              <w:noProof/>
            </w:rPr>
            <w:drawing>
              <wp:inline distT="0" distB="0" distL="0" distR="0">
                <wp:extent cx="971550" cy="619125"/>
                <wp:effectExtent l="19050" t="0" r="0" b="0"/>
                <wp:docPr id="9"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6C4FDA" w:rsidRPr="0087130E">
            <w:rPr>
              <w:rFonts w:ascii="Times New Roman" w:hAnsi="Times New Roman"/>
              <w:sz w:val="24"/>
              <w:szCs w:val="24"/>
            </w:rPr>
            <w:fldChar w:fldCharType="begin"/>
          </w:r>
          <w:r w:rsidRPr="0087130E">
            <w:rPr>
              <w:rFonts w:ascii="Times New Roman" w:hAnsi="Times New Roman"/>
              <w:sz w:val="24"/>
              <w:szCs w:val="24"/>
            </w:rPr>
            <w:instrText xml:space="preserve"> PAGE   \* MERGEFORMAT </w:instrText>
          </w:r>
          <w:r w:rsidR="006C4FDA" w:rsidRPr="0087130E">
            <w:rPr>
              <w:rFonts w:ascii="Times New Roman" w:hAnsi="Times New Roman"/>
              <w:sz w:val="24"/>
              <w:szCs w:val="24"/>
            </w:rPr>
            <w:fldChar w:fldCharType="separate"/>
          </w:r>
          <w:r w:rsidR="0031507B" w:rsidRPr="0031507B">
            <w:rPr>
              <w:rFonts w:ascii="Times New Roman" w:hAnsi="Times New Roman"/>
              <w:b/>
              <w:noProof/>
              <w:sz w:val="24"/>
              <w:szCs w:val="24"/>
            </w:rPr>
            <w:t>2</w:t>
          </w:r>
          <w:r w:rsidR="006C4FDA" w:rsidRPr="0087130E">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B82460" w:rsidRDefault="00B82460">
          <w:pPr>
            <w:pStyle w:val="Footer"/>
            <w:jc w:val="center"/>
            <w:rPr>
              <w:rFonts w:ascii="Times New Roman" w:hAnsi="Times New Roman"/>
              <w:lang w:val="es-PR"/>
            </w:rPr>
          </w:pPr>
        </w:p>
        <w:p w:rsidR="00B82460" w:rsidRDefault="00B82460">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B82460" w:rsidRDefault="00B82460">
          <w:pPr>
            <w:pStyle w:val="Footer"/>
            <w:jc w:val="center"/>
            <w:rPr>
              <w:rFonts w:ascii="Times New Roman" w:hAnsi="Times New Roman"/>
              <w:sz w:val="16"/>
              <w:szCs w:val="16"/>
              <w:lang w:val="es-PR"/>
            </w:rPr>
          </w:pPr>
        </w:p>
        <w:p w:rsidR="00B82460" w:rsidRDefault="00B82460">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B82460" w:rsidRDefault="00B82460" w:rsidP="00B82460">
    <w:pPr>
      <w:rPr>
        <w:rFonts w:ascii="Times New Roman" w:hAnsi="Times New Roman"/>
        <w:lang w:val="es-PR"/>
      </w:rPr>
    </w:pPr>
  </w:p>
  <w:p w:rsidR="00CF03B8" w:rsidRPr="00B82460" w:rsidRDefault="00CF03B8" w:rsidP="00B82460">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0D" w:rsidRDefault="00684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9A" w:rsidRDefault="009A559A" w:rsidP="005501A9">
      <w:pPr>
        <w:spacing w:after="0" w:line="240" w:lineRule="auto"/>
      </w:pPr>
      <w:r>
        <w:separator/>
      </w:r>
    </w:p>
  </w:footnote>
  <w:footnote w:type="continuationSeparator" w:id="0">
    <w:p w:rsidR="009A559A" w:rsidRDefault="009A559A"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0D" w:rsidRDefault="006840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A305D3" w:rsidRPr="0031507B" w:rsidTr="00F44B6B">
      <w:trPr>
        <w:trHeight w:val="288"/>
      </w:trPr>
      <w:tc>
        <w:tcPr>
          <w:tcW w:w="8395" w:type="dxa"/>
        </w:tcPr>
        <w:p w:rsidR="0068400D" w:rsidRDefault="0068400D" w:rsidP="0068400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68400D" w:rsidRPr="00446DFA" w:rsidRDefault="0068400D" w:rsidP="0068400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68400D" w:rsidRPr="00446DFA" w:rsidRDefault="0068400D" w:rsidP="0068400D">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A305D3" w:rsidRPr="00A305D3" w:rsidRDefault="00A305D3" w:rsidP="00F44B6B">
          <w:pPr>
            <w:spacing w:after="0" w:line="240" w:lineRule="auto"/>
            <w:rPr>
              <w:rFonts w:ascii="Times New Roman" w:hAnsi="Times New Roman"/>
              <w:b/>
              <w:bCs/>
              <w:color w:val="000000"/>
              <w:sz w:val="28"/>
              <w:szCs w:val="28"/>
              <w:lang w:val="es-PR"/>
            </w:rPr>
          </w:pPr>
          <w:r w:rsidRPr="00A305D3">
            <w:rPr>
              <w:rFonts w:ascii="Times New Roman" w:hAnsi="Times New Roman"/>
              <w:b/>
              <w:bCs/>
              <w:color w:val="000000"/>
              <w:sz w:val="28"/>
              <w:szCs w:val="28"/>
              <w:lang w:val="es-PR"/>
            </w:rPr>
            <w:t xml:space="preserve">Distribuciones en Suma Global </w:t>
          </w:r>
          <w:r w:rsidR="00CE26C8">
            <w:rPr>
              <w:rFonts w:ascii="Times New Roman" w:hAnsi="Times New Roman"/>
              <w:b/>
              <w:bCs/>
              <w:color w:val="000000"/>
              <w:sz w:val="28"/>
              <w:szCs w:val="28"/>
              <w:lang w:val="es-PR"/>
            </w:rPr>
            <w:t xml:space="preserve">- </w:t>
          </w:r>
          <w:r w:rsidRPr="00A305D3">
            <w:rPr>
              <w:rFonts w:ascii="Times New Roman" w:hAnsi="Times New Roman"/>
              <w:b/>
              <w:bCs/>
              <w:color w:val="000000"/>
              <w:sz w:val="28"/>
              <w:szCs w:val="28"/>
              <w:lang w:val="es-PR"/>
            </w:rPr>
            <w:t>Planes de Retiro Cualificados</w:t>
          </w:r>
        </w:p>
      </w:tc>
      <w:tc>
        <w:tcPr>
          <w:tcW w:w="1195" w:type="dxa"/>
        </w:tcPr>
        <w:p w:rsidR="00A305D3" w:rsidRPr="00D049E5" w:rsidRDefault="006C4FDA" w:rsidP="00F44B6B">
          <w:pPr>
            <w:pStyle w:val="Header"/>
            <w:rPr>
              <w:rFonts w:asciiTheme="majorHAnsi" w:eastAsiaTheme="majorEastAsia" w:hAnsiTheme="majorHAnsi" w:cstheme="majorBidi"/>
              <w:b/>
              <w:bCs/>
              <w:color w:val="4F81BD" w:themeColor="accent1"/>
              <w:sz w:val="36"/>
              <w:szCs w:val="36"/>
              <w:lang w:val="es-PR"/>
            </w:rPr>
          </w:pPr>
          <w:r w:rsidRPr="006C4FDA">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2.15pt;width:82.5pt;height:24.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A305D3" w:rsidRPr="00446DFA" w:rsidRDefault="0068400D" w:rsidP="00A305D3">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A305D3">
                        <w:rPr>
                          <w:rFonts w:ascii="Times New Roman" w:hAnsi="Times New Roman"/>
                          <w:sz w:val="16"/>
                          <w:szCs w:val="16"/>
                          <w:lang w:val="es-PR"/>
                        </w:rPr>
                        <w:t>AC-027</w:t>
                      </w:r>
                    </w:p>
                    <w:p w:rsidR="00A305D3" w:rsidRPr="002608D6" w:rsidRDefault="0068400D" w:rsidP="00A305D3">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A305D3" w:rsidRPr="00446DFA">
                        <w:rPr>
                          <w:rFonts w:ascii="Times New Roman" w:hAnsi="Times New Roman"/>
                          <w:sz w:val="16"/>
                          <w:szCs w:val="16"/>
                          <w:lang w:val="es-PR"/>
                        </w:rPr>
                        <w:t>-15</w:t>
                      </w:r>
                    </w:p>
                  </w:txbxContent>
                </v:textbox>
              </v:shape>
            </w:pict>
          </w:r>
        </w:p>
      </w:tc>
    </w:tr>
  </w:tbl>
  <w:p w:rsidR="00CF03B8" w:rsidRPr="00A305D3" w:rsidRDefault="00CF03B8" w:rsidP="00A305D3">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0D" w:rsidRDefault="00684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2011615"/>
    <w:multiLevelType w:val="hybridMultilevel"/>
    <w:tmpl w:val="A77CB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D2867"/>
    <w:multiLevelType w:val="hybridMultilevel"/>
    <w:tmpl w:val="C132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91B6E"/>
    <w:multiLevelType w:val="hybridMultilevel"/>
    <w:tmpl w:val="FB14DA1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6">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063F4E"/>
    <w:multiLevelType w:val="hybridMultilevel"/>
    <w:tmpl w:val="7C0EB928"/>
    <w:lvl w:ilvl="0" w:tplc="BF6C3E30">
      <w:numFmt w:val="bullet"/>
      <w:lvlText w:val=""/>
      <w:lvlJc w:val="left"/>
      <w:pPr>
        <w:ind w:left="720" w:hanging="360"/>
      </w:pPr>
      <w:rPr>
        <w:rFonts w:ascii="Wingdings" w:eastAsia="Times New Roman" w:hAnsi="Wingdings" w:cs="Times New Roman"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117F75AC"/>
    <w:multiLevelType w:val="hybridMultilevel"/>
    <w:tmpl w:val="5028848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7A3066A"/>
    <w:multiLevelType w:val="hybridMultilevel"/>
    <w:tmpl w:val="DD92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7">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55FED"/>
    <w:multiLevelType w:val="hybridMultilevel"/>
    <w:tmpl w:val="F6D84766"/>
    <w:lvl w:ilvl="0" w:tplc="7E4EE95A">
      <w:start w:val="4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nsid w:val="3717223F"/>
    <w:multiLevelType w:val="hybridMultilevel"/>
    <w:tmpl w:val="263E9B06"/>
    <w:lvl w:ilvl="0" w:tplc="CF7EBC0C">
      <w:start w:val="1"/>
      <w:numFmt w:val="bullet"/>
      <w:lvlText w:val=""/>
      <w:lvlJc w:val="left"/>
      <w:pPr>
        <w:tabs>
          <w:tab w:val="num" w:pos="720"/>
        </w:tabs>
        <w:ind w:left="720" w:hanging="360"/>
      </w:pPr>
      <w:rPr>
        <w:rFonts w:ascii="Wingdings" w:hAnsi="Wingdings" w:hint="default"/>
      </w:rPr>
    </w:lvl>
    <w:lvl w:ilvl="1" w:tplc="BF9C7A38">
      <w:start w:val="827"/>
      <w:numFmt w:val="bullet"/>
      <w:lvlText w:val=""/>
      <w:lvlJc w:val="left"/>
      <w:pPr>
        <w:tabs>
          <w:tab w:val="num" w:pos="1440"/>
        </w:tabs>
        <w:ind w:left="1440" w:hanging="360"/>
      </w:pPr>
      <w:rPr>
        <w:rFonts w:ascii="Wingdings" w:hAnsi="Wingdings" w:hint="default"/>
      </w:rPr>
    </w:lvl>
    <w:lvl w:ilvl="2" w:tplc="1D06CFEE" w:tentative="1">
      <w:start w:val="1"/>
      <w:numFmt w:val="bullet"/>
      <w:lvlText w:val=""/>
      <w:lvlJc w:val="left"/>
      <w:pPr>
        <w:tabs>
          <w:tab w:val="num" w:pos="2160"/>
        </w:tabs>
        <w:ind w:left="2160" w:hanging="360"/>
      </w:pPr>
      <w:rPr>
        <w:rFonts w:ascii="Wingdings" w:hAnsi="Wingdings" w:hint="default"/>
      </w:rPr>
    </w:lvl>
    <w:lvl w:ilvl="3" w:tplc="9340A048" w:tentative="1">
      <w:start w:val="1"/>
      <w:numFmt w:val="bullet"/>
      <w:lvlText w:val=""/>
      <w:lvlJc w:val="left"/>
      <w:pPr>
        <w:tabs>
          <w:tab w:val="num" w:pos="2880"/>
        </w:tabs>
        <w:ind w:left="2880" w:hanging="360"/>
      </w:pPr>
      <w:rPr>
        <w:rFonts w:ascii="Wingdings" w:hAnsi="Wingdings" w:hint="default"/>
      </w:rPr>
    </w:lvl>
    <w:lvl w:ilvl="4" w:tplc="94AAC01A" w:tentative="1">
      <w:start w:val="1"/>
      <w:numFmt w:val="bullet"/>
      <w:lvlText w:val=""/>
      <w:lvlJc w:val="left"/>
      <w:pPr>
        <w:tabs>
          <w:tab w:val="num" w:pos="3600"/>
        </w:tabs>
        <w:ind w:left="3600" w:hanging="360"/>
      </w:pPr>
      <w:rPr>
        <w:rFonts w:ascii="Wingdings" w:hAnsi="Wingdings" w:hint="default"/>
      </w:rPr>
    </w:lvl>
    <w:lvl w:ilvl="5" w:tplc="409E5B30" w:tentative="1">
      <w:start w:val="1"/>
      <w:numFmt w:val="bullet"/>
      <w:lvlText w:val=""/>
      <w:lvlJc w:val="left"/>
      <w:pPr>
        <w:tabs>
          <w:tab w:val="num" w:pos="4320"/>
        </w:tabs>
        <w:ind w:left="4320" w:hanging="360"/>
      </w:pPr>
      <w:rPr>
        <w:rFonts w:ascii="Wingdings" w:hAnsi="Wingdings" w:hint="default"/>
      </w:rPr>
    </w:lvl>
    <w:lvl w:ilvl="6" w:tplc="A91283D6" w:tentative="1">
      <w:start w:val="1"/>
      <w:numFmt w:val="bullet"/>
      <w:lvlText w:val=""/>
      <w:lvlJc w:val="left"/>
      <w:pPr>
        <w:tabs>
          <w:tab w:val="num" w:pos="5040"/>
        </w:tabs>
        <w:ind w:left="5040" w:hanging="360"/>
      </w:pPr>
      <w:rPr>
        <w:rFonts w:ascii="Wingdings" w:hAnsi="Wingdings" w:hint="default"/>
      </w:rPr>
    </w:lvl>
    <w:lvl w:ilvl="7" w:tplc="2458AF60" w:tentative="1">
      <w:start w:val="1"/>
      <w:numFmt w:val="bullet"/>
      <w:lvlText w:val=""/>
      <w:lvlJc w:val="left"/>
      <w:pPr>
        <w:tabs>
          <w:tab w:val="num" w:pos="5760"/>
        </w:tabs>
        <w:ind w:left="5760" w:hanging="360"/>
      </w:pPr>
      <w:rPr>
        <w:rFonts w:ascii="Wingdings" w:hAnsi="Wingdings" w:hint="default"/>
      </w:rPr>
    </w:lvl>
    <w:lvl w:ilvl="8" w:tplc="7592EDC4" w:tentative="1">
      <w:start w:val="1"/>
      <w:numFmt w:val="bullet"/>
      <w:lvlText w:val=""/>
      <w:lvlJc w:val="left"/>
      <w:pPr>
        <w:tabs>
          <w:tab w:val="num" w:pos="6480"/>
        </w:tabs>
        <w:ind w:left="6480" w:hanging="360"/>
      </w:pPr>
      <w:rPr>
        <w:rFonts w:ascii="Wingdings" w:hAnsi="Wingdings" w:hint="default"/>
      </w:rPr>
    </w:lvl>
  </w:abstractNum>
  <w:abstractNum w:abstractNumId="2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602A2"/>
    <w:multiLevelType w:val="hybridMultilevel"/>
    <w:tmpl w:val="7E4ED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5">
    <w:nsid w:val="64F85A38"/>
    <w:multiLevelType w:val="hybridMultilevel"/>
    <w:tmpl w:val="0A1AF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2">
    <w:nsid w:val="76A85DFD"/>
    <w:multiLevelType w:val="hybridMultilevel"/>
    <w:tmpl w:val="1EFC2A0C"/>
    <w:lvl w:ilvl="0" w:tplc="88DE4624">
      <w:start w:val="1"/>
      <w:numFmt w:val="bullet"/>
      <w:lvlText w:val=""/>
      <w:lvlJc w:val="left"/>
      <w:pPr>
        <w:tabs>
          <w:tab w:val="num" w:pos="720"/>
        </w:tabs>
        <w:ind w:left="720" w:hanging="360"/>
      </w:pPr>
      <w:rPr>
        <w:rFonts w:ascii="Wingdings" w:hAnsi="Wingdings" w:hint="default"/>
      </w:rPr>
    </w:lvl>
    <w:lvl w:ilvl="1" w:tplc="344A89A2">
      <w:start w:val="750"/>
      <w:numFmt w:val="bullet"/>
      <w:lvlText w:val=""/>
      <w:lvlJc w:val="left"/>
      <w:pPr>
        <w:tabs>
          <w:tab w:val="num" w:pos="1440"/>
        </w:tabs>
        <w:ind w:left="1440" w:hanging="360"/>
      </w:pPr>
      <w:rPr>
        <w:rFonts w:ascii="Wingdings" w:hAnsi="Wingdings" w:hint="default"/>
      </w:rPr>
    </w:lvl>
    <w:lvl w:ilvl="2" w:tplc="A7B666E2" w:tentative="1">
      <w:start w:val="1"/>
      <w:numFmt w:val="bullet"/>
      <w:lvlText w:val=""/>
      <w:lvlJc w:val="left"/>
      <w:pPr>
        <w:tabs>
          <w:tab w:val="num" w:pos="2160"/>
        </w:tabs>
        <w:ind w:left="2160" w:hanging="360"/>
      </w:pPr>
      <w:rPr>
        <w:rFonts w:ascii="Wingdings" w:hAnsi="Wingdings" w:hint="default"/>
      </w:rPr>
    </w:lvl>
    <w:lvl w:ilvl="3" w:tplc="4F98DCE0" w:tentative="1">
      <w:start w:val="1"/>
      <w:numFmt w:val="bullet"/>
      <w:lvlText w:val=""/>
      <w:lvlJc w:val="left"/>
      <w:pPr>
        <w:tabs>
          <w:tab w:val="num" w:pos="2880"/>
        </w:tabs>
        <w:ind w:left="2880" w:hanging="360"/>
      </w:pPr>
      <w:rPr>
        <w:rFonts w:ascii="Wingdings" w:hAnsi="Wingdings" w:hint="default"/>
      </w:rPr>
    </w:lvl>
    <w:lvl w:ilvl="4" w:tplc="3FB0C466" w:tentative="1">
      <w:start w:val="1"/>
      <w:numFmt w:val="bullet"/>
      <w:lvlText w:val=""/>
      <w:lvlJc w:val="left"/>
      <w:pPr>
        <w:tabs>
          <w:tab w:val="num" w:pos="3600"/>
        </w:tabs>
        <w:ind w:left="3600" w:hanging="360"/>
      </w:pPr>
      <w:rPr>
        <w:rFonts w:ascii="Wingdings" w:hAnsi="Wingdings" w:hint="default"/>
      </w:rPr>
    </w:lvl>
    <w:lvl w:ilvl="5" w:tplc="24B0D8AE" w:tentative="1">
      <w:start w:val="1"/>
      <w:numFmt w:val="bullet"/>
      <w:lvlText w:val=""/>
      <w:lvlJc w:val="left"/>
      <w:pPr>
        <w:tabs>
          <w:tab w:val="num" w:pos="4320"/>
        </w:tabs>
        <w:ind w:left="4320" w:hanging="360"/>
      </w:pPr>
      <w:rPr>
        <w:rFonts w:ascii="Wingdings" w:hAnsi="Wingdings" w:hint="default"/>
      </w:rPr>
    </w:lvl>
    <w:lvl w:ilvl="6" w:tplc="3646A14A" w:tentative="1">
      <w:start w:val="1"/>
      <w:numFmt w:val="bullet"/>
      <w:lvlText w:val=""/>
      <w:lvlJc w:val="left"/>
      <w:pPr>
        <w:tabs>
          <w:tab w:val="num" w:pos="5040"/>
        </w:tabs>
        <w:ind w:left="5040" w:hanging="360"/>
      </w:pPr>
      <w:rPr>
        <w:rFonts w:ascii="Wingdings" w:hAnsi="Wingdings" w:hint="default"/>
      </w:rPr>
    </w:lvl>
    <w:lvl w:ilvl="7" w:tplc="08B8D87A" w:tentative="1">
      <w:start w:val="1"/>
      <w:numFmt w:val="bullet"/>
      <w:lvlText w:val=""/>
      <w:lvlJc w:val="left"/>
      <w:pPr>
        <w:tabs>
          <w:tab w:val="num" w:pos="5760"/>
        </w:tabs>
        <w:ind w:left="5760" w:hanging="360"/>
      </w:pPr>
      <w:rPr>
        <w:rFonts w:ascii="Wingdings" w:hAnsi="Wingdings" w:hint="default"/>
      </w:rPr>
    </w:lvl>
    <w:lvl w:ilvl="8" w:tplc="71A2DADE" w:tentative="1">
      <w:start w:val="1"/>
      <w:numFmt w:val="bullet"/>
      <w:lvlText w:val=""/>
      <w:lvlJc w:val="left"/>
      <w:pPr>
        <w:tabs>
          <w:tab w:val="num" w:pos="6480"/>
        </w:tabs>
        <w:ind w:left="6480" w:hanging="360"/>
      </w:pPr>
      <w:rPr>
        <w:rFonts w:ascii="Wingdings" w:hAnsi="Wingdings" w:hint="default"/>
      </w:rPr>
    </w:lvl>
  </w:abstractNum>
  <w:abstractNum w:abstractNumId="4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C87E92"/>
    <w:multiLevelType w:val="hybridMultilevel"/>
    <w:tmpl w:val="F4DA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2B04F5"/>
    <w:multiLevelType w:val="hybridMultilevel"/>
    <w:tmpl w:val="3FF8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5"/>
  </w:num>
  <w:num w:numId="2">
    <w:abstractNumId w:val="38"/>
  </w:num>
  <w:num w:numId="3">
    <w:abstractNumId w:val="39"/>
  </w:num>
  <w:num w:numId="4">
    <w:abstractNumId w:val="46"/>
  </w:num>
  <w:num w:numId="5">
    <w:abstractNumId w:val="26"/>
  </w:num>
  <w:num w:numId="6">
    <w:abstractNumId w:val="22"/>
  </w:num>
  <w:num w:numId="7">
    <w:abstractNumId w:val="32"/>
  </w:num>
  <w:num w:numId="8">
    <w:abstractNumId w:val="19"/>
  </w:num>
  <w:num w:numId="9">
    <w:abstractNumId w:val="36"/>
  </w:num>
  <w:num w:numId="10">
    <w:abstractNumId w:val="17"/>
  </w:num>
  <w:num w:numId="11">
    <w:abstractNumId w:val="4"/>
  </w:num>
  <w:num w:numId="12">
    <w:abstractNumId w:val="43"/>
  </w:num>
  <w:num w:numId="13">
    <w:abstractNumId w:val="6"/>
  </w:num>
  <w:num w:numId="14">
    <w:abstractNumId w:val="37"/>
  </w:num>
  <w:num w:numId="15">
    <w:abstractNumId w:val="14"/>
  </w:num>
  <w:num w:numId="16">
    <w:abstractNumId w:val="29"/>
  </w:num>
  <w:num w:numId="17">
    <w:abstractNumId w:val="9"/>
  </w:num>
  <w:num w:numId="18">
    <w:abstractNumId w:val="34"/>
  </w:num>
  <w:num w:numId="19">
    <w:abstractNumId w:val="23"/>
  </w:num>
  <w:num w:numId="20">
    <w:abstractNumId w:val="33"/>
  </w:num>
  <w:num w:numId="21">
    <w:abstractNumId w:val="20"/>
  </w:num>
  <w:num w:numId="22">
    <w:abstractNumId w:val="5"/>
  </w:num>
  <w:num w:numId="23">
    <w:abstractNumId w:val="40"/>
  </w:num>
  <w:num w:numId="24">
    <w:abstractNumId w:val="41"/>
  </w:num>
  <w:num w:numId="25">
    <w:abstractNumId w:val="16"/>
  </w:num>
  <w:num w:numId="26">
    <w:abstractNumId w:val="0"/>
  </w:num>
  <w:num w:numId="27">
    <w:abstractNumId w:val="28"/>
  </w:num>
  <w:num w:numId="28">
    <w:abstractNumId w:val="25"/>
  </w:num>
  <w:num w:numId="29">
    <w:abstractNumId w:val="24"/>
  </w:num>
  <w:num w:numId="30">
    <w:abstractNumId w:val="30"/>
  </w:num>
  <w:num w:numId="31">
    <w:abstractNumId w:val="7"/>
  </w:num>
  <w:num w:numId="32">
    <w:abstractNumId w:val="27"/>
  </w:num>
  <w:num w:numId="33">
    <w:abstractNumId w:val="11"/>
  </w:num>
  <w:num w:numId="34">
    <w:abstractNumId w:val="45"/>
  </w:num>
  <w:num w:numId="35">
    <w:abstractNumId w:val="44"/>
  </w:num>
  <w:num w:numId="36">
    <w:abstractNumId w:val="31"/>
  </w:num>
  <w:num w:numId="37">
    <w:abstractNumId w:val="2"/>
  </w:num>
  <w:num w:numId="38">
    <w:abstractNumId w:val="35"/>
  </w:num>
  <w:num w:numId="39">
    <w:abstractNumId w:val="1"/>
  </w:num>
  <w:num w:numId="40">
    <w:abstractNumId w:val="10"/>
  </w:num>
  <w:num w:numId="41">
    <w:abstractNumId w:val="8"/>
  </w:num>
  <w:num w:numId="42">
    <w:abstractNumId w:val="18"/>
  </w:num>
  <w:num w:numId="43">
    <w:abstractNumId w:val="3"/>
  </w:num>
  <w:num w:numId="44">
    <w:abstractNumId w:val="12"/>
  </w:num>
  <w:num w:numId="45">
    <w:abstractNumId w:val="21"/>
  </w:num>
  <w:num w:numId="46">
    <w:abstractNumId w:val="42"/>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31913"/>
    <w:rsid w:val="00032898"/>
    <w:rsid w:val="00032D48"/>
    <w:rsid w:val="00035A7B"/>
    <w:rsid w:val="00037674"/>
    <w:rsid w:val="000458BF"/>
    <w:rsid w:val="000517CD"/>
    <w:rsid w:val="0005534A"/>
    <w:rsid w:val="00055F1D"/>
    <w:rsid w:val="00057000"/>
    <w:rsid w:val="000654F9"/>
    <w:rsid w:val="00066C33"/>
    <w:rsid w:val="000674D5"/>
    <w:rsid w:val="00071AFD"/>
    <w:rsid w:val="0007270C"/>
    <w:rsid w:val="00075B22"/>
    <w:rsid w:val="00075B7B"/>
    <w:rsid w:val="00076DE8"/>
    <w:rsid w:val="00077B18"/>
    <w:rsid w:val="0009017E"/>
    <w:rsid w:val="00091C87"/>
    <w:rsid w:val="00091C9C"/>
    <w:rsid w:val="000940BF"/>
    <w:rsid w:val="00095162"/>
    <w:rsid w:val="0009685B"/>
    <w:rsid w:val="000A1207"/>
    <w:rsid w:val="000A19E1"/>
    <w:rsid w:val="000A213C"/>
    <w:rsid w:val="000A6877"/>
    <w:rsid w:val="000B2831"/>
    <w:rsid w:val="000B69D3"/>
    <w:rsid w:val="000C0A59"/>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62D4A"/>
    <w:rsid w:val="0016664C"/>
    <w:rsid w:val="00173985"/>
    <w:rsid w:val="00174283"/>
    <w:rsid w:val="00175C1F"/>
    <w:rsid w:val="00181A79"/>
    <w:rsid w:val="00182153"/>
    <w:rsid w:val="00185F44"/>
    <w:rsid w:val="001860B9"/>
    <w:rsid w:val="00191D71"/>
    <w:rsid w:val="00193697"/>
    <w:rsid w:val="00194922"/>
    <w:rsid w:val="001A49AE"/>
    <w:rsid w:val="001B0334"/>
    <w:rsid w:val="001B4194"/>
    <w:rsid w:val="001B5E3B"/>
    <w:rsid w:val="001B6C87"/>
    <w:rsid w:val="001C147E"/>
    <w:rsid w:val="001C2D5F"/>
    <w:rsid w:val="001C4B1B"/>
    <w:rsid w:val="001C7A01"/>
    <w:rsid w:val="001D0911"/>
    <w:rsid w:val="001D586F"/>
    <w:rsid w:val="001E0D55"/>
    <w:rsid w:val="001E1870"/>
    <w:rsid w:val="001E3DF1"/>
    <w:rsid w:val="001E5F9F"/>
    <w:rsid w:val="001E770C"/>
    <w:rsid w:val="001F50AF"/>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4641F"/>
    <w:rsid w:val="002501E2"/>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E06FD"/>
    <w:rsid w:val="002E41F1"/>
    <w:rsid w:val="002E68F3"/>
    <w:rsid w:val="002F030A"/>
    <w:rsid w:val="002F2A29"/>
    <w:rsid w:val="002F38A5"/>
    <w:rsid w:val="0030058C"/>
    <w:rsid w:val="003017A1"/>
    <w:rsid w:val="00303BF4"/>
    <w:rsid w:val="00306286"/>
    <w:rsid w:val="00307F9A"/>
    <w:rsid w:val="00314199"/>
    <w:rsid w:val="0031507B"/>
    <w:rsid w:val="0032757A"/>
    <w:rsid w:val="0033701A"/>
    <w:rsid w:val="00344018"/>
    <w:rsid w:val="00344E42"/>
    <w:rsid w:val="003518C4"/>
    <w:rsid w:val="003556DB"/>
    <w:rsid w:val="00362B7B"/>
    <w:rsid w:val="0036675A"/>
    <w:rsid w:val="00370141"/>
    <w:rsid w:val="00393F9D"/>
    <w:rsid w:val="003950A0"/>
    <w:rsid w:val="00396926"/>
    <w:rsid w:val="003A20CF"/>
    <w:rsid w:val="003A7310"/>
    <w:rsid w:val="003B4575"/>
    <w:rsid w:val="003C1B34"/>
    <w:rsid w:val="003C6015"/>
    <w:rsid w:val="003E0674"/>
    <w:rsid w:val="003E3CF4"/>
    <w:rsid w:val="003E7D88"/>
    <w:rsid w:val="003F0271"/>
    <w:rsid w:val="003F6F56"/>
    <w:rsid w:val="003F7B76"/>
    <w:rsid w:val="003F7EF4"/>
    <w:rsid w:val="004012B7"/>
    <w:rsid w:val="00404919"/>
    <w:rsid w:val="00406783"/>
    <w:rsid w:val="00412C48"/>
    <w:rsid w:val="00417415"/>
    <w:rsid w:val="004241F6"/>
    <w:rsid w:val="0043005F"/>
    <w:rsid w:val="00434497"/>
    <w:rsid w:val="00445105"/>
    <w:rsid w:val="004529FC"/>
    <w:rsid w:val="004548F1"/>
    <w:rsid w:val="00456683"/>
    <w:rsid w:val="00464AF1"/>
    <w:rsid w:val="004651BE"/>
    <w:rsid w:val="0047186A"/>
    <w:rsid w:val="00471EC1"/>
    <w:rsid w:val="00475E45"/>
    <w:rsid w:val="00476F59"/>
    <w:rsid w:val="0048271E"/>
    <w:rsid w:val="004842B9"/>
    <w:rsid w:val="004847E5"/>
    <w:rsid w:val="0049324C"/>
    <w:rsid w:val="004979AF"/>
    <w:rsid w:val="00497B37"/>
    <w:rsid w:val="004A04AB"/>
    <w:rsid w:val="004A560A"/>
    <w:rsid w:val="004A5AAE"/>
    <w:rsid w:val="004B0EE7"/>
    <w:rsid w:val="004C2D1D"/>
    <w:rsid w:val="004D1C16"/>
    <w:rsid w:val="004D2A32"/>
    <w:rsid w:val="004D33BF"/>
    <w:rsid w:val="004D415A"/>
    <w:rsid w:val="004E0DAC"/>
    <w:rsid w:val="004E1CC2"/>
    <w:rsid w:val="004F4209"/>
    <w:rsid w:val="00500FDD"/>
    <w:rsid w:val="00506097"/>
    <w:rsid w:val="005115C4"/>
    <w:rsid w:val="005241A9"/>
    <w:rsid w:val="00527066"/>
    <w:rsid w:val="00532C7E"/>
    <w:rsid w:val="00532CF3"/>
    <w:rsid w:val="00537AFD"/>
    <w:rsid w:val="005420A8"/>
    <w:rsid w:val="00544149"/>
    <w:rsid w:val="005448F7"/>
    <w:rsid w:val="005501A9"/>
    <w:rsid w:val="005515A2"/>
    <w:rsid w:val="00551C52"/>
    <w:rsid w:val="005556A2"/>
    <w:rsid w:val="00556A00"/>
    <w:rsid w:val="00557367"/>
    <w:rsid w:val="005708D1"/>
    <w:rsid w:val="00576109"/>
    <w:rsid w:val="0058498C"/>
    <w:rsid w:val="00590F9C"/>
    <w:rsid w:val="00591CEE"/>
    <w:rsid w:val="005B0EA6"/>
    <w:rsid w:val="005B2388"/>
    <w:rsid w:val="005C1B0C"/>
    <w:rsid w:val="005C1D13"/>
    <w:rsid w:val="005C33B7"/>
    <w:rsid w:val="005D2EE9"/>
    <w:rsid w:val="005D6FC4"/>
    <w:rsid w:val="005D72CC"/>
    <w:rsid w:val="005F07EB"/>
    <w:rsid w:val="005F7447"/>
    <w:rsid w:val="00612C4E"/>
    <w:rsid w:val="00614C19"/>
    <w:rsid w:val="0062643D"/>
    <w:rsid w:val="006274C2"/>
    <w:rsid w:val="00633154"/>
    <w:rsid w:val="00633672"/>
    <w:rsid w:val="00633E03"/>
    <w:rsid w:val="00644031"/>
    <w:rsid w:val="00646A52"/>
    <w:rsid w:val="00655D34"/>
    <w:rsid w:val="00655E15"/>
    <w:rsid w:val="0066535D"/>
    <w:rsid w:val="00667D45"/>
    <w:rsid w:val="006810A0"/>
    <w:rsid w:val="00681D7E"/>
    <w:rsid w:val="006823A0"/>
    <w:rsid w:val="0068260E"/>
    <w:rsid w:val="00682EDE"/>
    <w:rsid w:val="0068400D"/>
    <w:rsid w:val="0068687E"/>
    <w:rsid w:val="00686BFC"/>
    <w:rsid w:val="00687F7E"/>
    <w:rsid w:val="00693EEE"/>
    <w:rsid w:val="00694504"/>
    <w:rsid w:val="006A35EC"/>
    <w:rsid w:val="006A5C1B"/>
    <w:rsid w:val="006B4A5E"/>
    <w:rsid w:val="006B5A60"/>
    <w:rsid w:val="006B7DFA"/>
    <w:rsid w:val="006C1662"/>
    <w:rsid w:val="006C4FDA"/>
    <w:rsid w:val="006C50A0"/>
    <w:rsid w:val="006C6588"/>
    <w:rsid w:val="006C6B39"/>
    <w:rsid w:val="006E18EA"/>
    <w:rsid w:val="006E3049"/>
    <w:rsid w:val="006E374E"/>
    <w:rsid w:val="006F0C66"/>
    <w:rsid w:val="006F359E"/>
    <w:rsid w:val="00701FC2"/>
    <w:rsid w:val="00706AE9"/>
    <w:rsid w:val="00722794"/>
    <w:rsid w:val="00726CF4"/>
    <w:rsid w:val="007271F4"/>
    <w:rsid w:val="00735FB7"/>
    <w:rsid w:val="007370BF"/>
    <w:rsid w:val="007415A2"/>
    <w:rsid w:val="0074728C"/>
    <w:rsid w:val="0075445D"/>
    <w:rsid w:val="0075549C"/>
    <w:rsid w:val="007600EE"/>
    <w:rsid w:val="0076116F"/>
    <w:rsid w:val="00781E56"/>
    <w:rsid w:val="00790A6E"/>
    <w:rsid w:val="00793C85"/>
    <w:rsid w:val="0079658A"/>
    <w:rsid w:val="007B1C6B"/>
    <w:rsid w:val="007B3534"/>
    <w:rsid w:val="007B4C53"/>
    <w:rsid w:val="007C089B"/>
    <w:rsid w:val="007C4C59"/>
    <w:rsid w:val="007C795B"/>
    <w:rsid w:val="007D07C4"/>
    <w:rsid w:val="007E1921"/>
    <w:rsid w:val="007E319D"/>
    <w:rsid w:val="007E432B"/>
    <w:rsid w:val="007F0041"/>
    <w:rsid w:val="007F6C93"/>
    <w:rsid w:val="007F7A59"/>
    <w:rsid w:val="00807397"/>
    <w:rsid w:val="00815B23"/>
    <w:rsid w:val="00817C0C"/>
    <w:rsid w:val="00824CB0"/>
    <w:rsid w:val="00832CC3"/>
    <w:rsid w:val="00841D9E"/>
    <w:rsid w:val="008542CD"/>
    <w:rsid w:val="00856C77"/>
    <w:rsid w:val="008575C5"/>
    <w:rsid w:val="0087130E"/>
    <w:rsid w:val="008766CF"/>
    <w:rsid w:val="00877A45"/>
    <w:rsid w:val="008947B8"/>
    <w:rsid w:val="008A0367"/>
    <w:rsid w:val="008A081E"/>
    <w:rsid w:val="008B7F12"/>
    <w:rsid w:val="008C29E6"/>
    <w:rsid w:val="008C479E"/>
    <w:rsid w:val="008F34D6"/>
    <w:rsid w:val="00910F3B"/>
    <w:rsid w:val="00916D37"/>
    <w:rsid w:val="00917173"/>
    <w:rsid w:val="009177F5"/>
    <w:rsid w:val="00920F3A"/>
    <w:rsid w:val="00923A12"/>
    <w:rsid w:val="00924F05"/>
    <w:rsid w:val="00927D2A"/>
    <w:rsid w:val="00933418"/>
    <w:rsid w:val="00934BD4"/>
    <w:rsid w:val="0093666D"/>
    <w:rsid w:val="00947E58"/>
    <w:rsid w:val="00951825"/>
    <w:rsid w:val="00953728"/>
    <w:rsid w:val="00953C5A"/>
    <w:rsid w:val="00963FB9"/>
    <w:rsid w:val="0097559D"/>
    <w:rsid w:val="00983F08"/>
    <w:rsid w:val="009A15D4"/>
    <w:rsid w:val="009A1E26"/>
    <w:rsid w:val="009A559A"/>
    <w:rsid w:val="009B26E4"/>
    <w:rsid w:val="009B2C9B"/>
    <w:rsid w:val="009C3BD1"/>
    <w:rsid w:val="009D4CF2"/>
    <w:rsid w:val="009D5454"/>
    <w:rsid w:val="009E10B3"/>
    <w:rsid w:val="009E6F83"/>
    <w:rsid w:val="009F3A9D"/>
    <w:rsid w:val="009F4507"/>
    <w:rsid w:val="00A03578"/>
    <w:rsid w:val="00A05433"/>
    <w:rsid w:val="00A132E2"/>
    <w:rsid w:val="00A15EFF"/>
    <w:rsid w:val="00A22135"/>
    <w:rsid w:val="00A25135"/>
    <w:rsid w:val="00A26F7F"/>
    <w:rsid w:val="00A271A0"/>
    <w:rsid w:val="00A305D3"/>
    <w:rsid w:val="00A5086B"/>
    <w:rsid w:val="00A5492B"/>
    <w:rsid w:val="00A60B6E"/>
    <w:rsid w:val="00A625BF"/>
    <w:rsid w:val="00A633B9"/>
    <w:rsid w:val="00A64429"/>
    <w:rsid w:val="00A64584"/>
    <w:rsid w:val="00A66A93"/>
    <w:rsid w:val="00A67769"/>
    <w:rsid w:val="00A7361C"/>
    <w:rsid w:val="00A73A7D"/>
    <w:rsid w:val="00A85737"/>
    <w:rsid w:val="00A877BD"/>
    <w:rsid w:val="00A87E54"/>
    <w:rsid w:val="00A902C1"/>
    <w:rsid w:val="00AA7C49"/>
    <w:rsid w:val="00AB0DF3"/>
    <w:rsid w:val="00AB1AE5"/>
    <w:rsid w:val="00AB301F"/>
    <w:rsid w:val="00AB7A80"/>
    <w:rsid w:val="00AD3D71"/>
    <w:rsid w:val="00AD43CC"/>
    <w:rsid w:val="00AE0D06"/>
    <w:rsid w:val="00AF0F2D"/>
    <w:rsid w:val="00AF2EAF"/>
    <w:rsid w:val="00B0003F"/>
    <w:rsid w:val="00B03DC9"/>
    <w:rsid w:val="00B04364"/>
    <w:rsid w:val="00B131CF"/>
    <w:rsid w:val="00B26E30"/>
    <w:rsid w:val="00B34D73"/>
    <w:rsid w:val="00B354E6"/>
    <w:rsid w:val="00B45ED1"/>
    <w:rsid w:val="00B51703"/>
    <w:rsid w:val="00B54FFF"/>
    <w:rsid w:val="00B65025"/>
    <w:rsid w:val="00B671BF"/>
    <w:rsid w:val="00B80DEA"/>
    <w:rsid w:val="00B82460"/>
    <w:rsid w:val="00B82C31"/>
    <w:rsid w:val="00B841AB"/>
    <w:rsid w:val="00B87BD7"/>
    <w:rsid w:val="00B96917"/>
    <w:rsid w:val="00B97614"/>
    <w:rsid w:val="00BA2309"/>
    <w:rsid w:val="00BA3D48"/>
    <w:rsid w:val="00BA55B7"/>
    <w:rsid w:val="00BB3D25"/>
    <w:rsid w:val="00BB72F0"/>
    <w:rsid w:val="00BB7B19"/>
    <w:rsid w:val="00BB7D22"/>
    <w:rsid w:val="00BC089D"/>
    <w:rsid w:val="00BC361C"/>
    <w:rsid w:val="00BD5A35"/>
    <w:rsid w:val="00BE20DD"/>
    <w:rsid w:val="00BE2B3C"/>
    <w:rsid w:val="00BE5E84"/>
    <w:rsid w:val="00BF0C6E"/>
    <w:rsid w:val="00BF5FCA"/>
    <w:rsid w:val="00BF69F3"/>
    <w:rsid w:val="00C133B5"/>
    <w:rsid w:val="00C14966"/>
    <w:rsid w:val="00C21DBC"/>
    <w:rsid w:val="00C22E14"/>
    <w:rsid w:val="00C26448"/>
    <w:rsid w:val="00C30F2D"/>
    <w:rsid w:val="00C56D6C"/>
    <w:rsid w:val="00C57A67"/>
    <w:rsid w:val="00C614EA"/>
    <w:rsid w:val="00C62C17"/>
    <w:rsid w:val="00C679DA"/>
    <w:rsid w:val="00C7220A"/>
    <w:rsid w:val="00C7504F"/>
    <w:rsid w:val="00C77541"/>
    <w:rsid w:val="00C81510"/>
    <w:rsid w:val="00C84847"/>
    <w:rsid w:val="00C975AA"/>
    <w:rsid w:val="00CA1937"/>
    <w:rsid w:val="00CB0E6F"/>
    <w:rsid w:val="00CC2660"/>
    <w:rsid w:val="00CC2A43"/>
    <w:rsid w:val="00CD525F"/>
    <w:rsid w:val="00CD63D6"/>
    <w:rsid w:val="00CD6509"/>
    <w:rsid w:val="00CE26C8"/>
    <w:rsid w:val="00CE7292"/>
    <w:rsid w:val="00CF03B8"/>
    <w:rsid w:val="00CF2784"/>
    <w:rsid w:val="00CF6CE6"/>
    <w:rsid w:val="00D040FD"/>
    <w:rsid w:val="00D06581"/>
    <w:rsid w:val="00D06C9C"/>
    <w:rsid w:val="00D17B23"/>
    <w:rsid w:val="00D22047"/>
    <w:rsid w:val="00D31241"/>
    <w:rsid w:val="00D33863"/>
    <w:rsid w:val="00D34073"/>
    <w:rsid w:val="00D3537B"/>
    <w:rsid w:val="00D42014"/>
    <w:rsid w:val="00D42B72"/>
    <w:rsid w:val="00D57B36"/>
    <w:rsid w:val="00D7198C"/>
    <w:rsid w:val="00D72227"/>
    <w:rsid w:val="00D82E99"/>
    <w:rsid w:val="00D86164"/>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4EC8"/>
    <w:rsid w:val="00E169B7"/>
    <w:rsid w:val="00E23183"/>
    <w:rsid w:val="00E24E04"/>
    <w:rsid w:val="00E263A1"/>
    <w:rsid w:val="00E27EA1"/>
    <w:rsid w:val="00E366B6"/>
    <w:rsid w:val="00E36B79"/>
    <w:rsid w:val="00E53ABC"/>
    <w:rsid w:val="00E53D05"/>
    <w:rsid w:val="00E62823"/>
    <w:rsid w:val="00E65EC2"/>
    <w:rsid w:val="00E67805"/>
    <w:rsid w:val="00E94C68"/>
    <w:rsid w:val="00EA23AC"/>
    <w:rsid w:val="00EB10E1"/>
    <w:rsid w:val="00EB7ACD"/>
    <w:rsid w:val="00EC0600"/>
    <w:rsid w:val="00EC6D20"/>
    <w:rsid w:val="00EE0ADA"/>
    <w:rsid w:val="00EE130A"/>
    <w:rsid w:val="00EE3A06"/>
    <w:rsid w:val="00EE489A"/>
    <w:rsid w:val="00F028E3"/>
    <w:rsid w:val="00F05AE7"/>
    <w:rsid w:val="00F10880"/>
    <w:rsid w:val="00F17576"/>
    <w:rsid w:val="00F3589A"/>
    <w:rsid w:val="00F44F70"/>
    <w:rsid w:val="00F519F5"/>
    <w:rsid w:val="00F5308E"/>
    <w:rsid w:val="00F62596"/>
    <w:rsid w:val="00F71A63"/>
    <w:rsid w:val="00F7510A"/>
    <w:rsid w:val="00F80327"/>
    <w:rsid w:val="00F8075F"/>
    <w:rsid w:val="00F814FC"/>
    <w:rsid w:val="00F83691"/>
    <w:rsid w:val="00F95728"/>
    <w:rsid w:val="00F965E1"/>
    <w:rsid w:val="00FB373F"/>
    <w:rsid w:val="00FB479D"/>
    <w:rsid w:val="00FC42E9"/>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54486277">
      <w:bodyDiv w:val="1"/>
      <w:marLeft w:val="0"/>
      <w:marRight w:val="0"/>
      <w:marTop w:val="0"/>
      <w:marBottom w:val="0"/>
      <w:divBdr>
        <w:top w:val="none" w:sz="0" w:space="0" w:color="auto"/>
        <w:left w:val="none" w:sz="0" w:space="0" w:color="auto"/>
        <w:bottom w:val="none" w:sz="0" w:space="0" w:color="auto"/>
        <w:right w:val="none" w:sz="0" w:space="0" w:color="auto"/>
      </w:divBdr>
      <w:divsChild>
        <w:div w:id="264073215">
          <w:marLeft w:val="547"/>
          <w:marRight w:val="0"/>
          <w:marTop w:val="0"/>
          <w:marBottom w:val="0"/>
          <w:divBdr>
            <w:top w:val="none" w:sz="0" w:space="0" w:color="auto"/>
            <w:left w:val="none" w:sz="0" w:space="0" w:color="auto"/>
            <w:bottom w:val="none" w:sz="0" w:space="0" w:color="auto"/>
            <w:right w:val="none" w:sz="0" w:space="0" w:color="auto"/>
          </w:divBdr>
        </w:div>
        <w:div w:id="1136415720">
          <w:marLeft w:val="1267"/>
          <w:marRight w:val="0"/>
          <w:marTop w:val="0"/>
          <w:marBottom w:val="0"/>
          <w:divBdr>
            <w:top w:val="none" w:sz="0" w:space="0" w:color="auto"/>
            <w:left w:val="none" w:sz="0" w:space="0" w:color="auto"/>
            <w:bottom w:val="none" w:sz="0" w:space="0" w:color="auto"/>
            <w:right w:val="none" w:sz="0" w:space="0" w:color="auto"/>
          </w:divBdr>
        </w:div>
        <w:div w:id="503938505">
          <w:marLeft w:val="547"/>
          <w:marRight w:val="0"/>
          <w:marTop w:val="0"/>
          <w:marBottom w:val="0"/>
          <w:divBdr>
            <w:top w:val="none" w:sz="0" w:space="0" w:color="auto"/>
            <w:left w:val="none" w:sz="0" w:space="0" w:color="auto"/>
            <w:bottom w:val="none" w:sz="0" w:space="0" w:color="auto"/>
            <w:right w:val="none" w:sz="0" w:space="0" w:color="auto"/>
          </w:divBdr>
        </w:div>
        <w:div w:id="1104885337">
          <w:marLeft w:val="1267"/>
          <w:marRight w:val="0"/>
          <w:marTop w:val="0"/>
          <w:marBottom w:val="0"/>
          <w:divBdr>
            <w:top w:val="none" w:sz="0" w:space="0" w:color="auto"/>
            <w:left w:val="none" w:sz="0" w:space="0" w:color="auto"/>
            <w:bottom w:val="none" w:sz="0" w:space="0" w:color="auto"/>
            <w:right w:val="none" w:sz="0" w:space="0" w:color="auto"/>
          </w:divBdr>
        </w:div>
        <w:div w:id="197552756">
          <w:marLeft w:val="1267"/>
          <w:marRight w:val="0"/>
          <w:marTop w:val="0"/>
          <w:marBottom w:val="0"/>
          <w:divBdr>
            <w:top w:val="none" w:sz="0" w:space="0" w:color="auto"/>
            <w:left w:val="none" w:sz="0" w:space="0" w:color="auto"/>
            <w:bottom w:val="none" w:sz="0" w:space="0" w:color="auto"/>
            <w:right w:val="none" w:sz="0" w:space="0" w:color="auto"/>
          </w:divBdr>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7865">
      <w:bodyDiv w:val="1"/>
      <w:marLeft w:val="0"/>
      <w:marRight w:val="0"/>
      <w:marTop w:val="0"/>
      <w:marBottom w:val="0"/>
      <w:divBdr>
        <w:top w:val="none" w:sz="0" w:space="0" w:color="auto"/>
        <w:left w:val="none" w:sz="0" w:space="0" w:color="auto"/>
        <w:bottom w:val="none" w:sz="0" w:space="0" w:color="auto"/>
        <w:right w:val="none" w:sz="0" w:space="0" w:color="auto"/>
      </w:divBdr>
    </w:div>
    <w:div w:id="1073359102">
      <w:bodyDiv w:val="1"/>
      <w:marLeft w:val="0"/>
      <w:marRight w:val="0"/>
      <w:marTop w:val="0"/>
      <w:marBottom w:val="0"/>
      <w:divBdr>
        <w:top w:val="none" w:sz="0" w:space="0" w:color="auto"/>
        <w:left w:val="none" w:sz="0" w:space="0" w:color="auto"/>
        <w:bottom w:val="none" w:sz="0" w:space="0" w:color="auto"/>
        <w:right w:val="none" w:sz="0" w:space="0" w:color="auto"/>
      </w:divBdr>
      <w:divsChild>
        <w:div w:id="319115434">
          <w:marLeft w:val="446"/>
          <w:marRight w:val="0"/>
          <w:marTop w:val="0"/>
          <w:marBottom w:val="0"/>
          <w:divBdr>
            <w:top w:val="none" w:sz="0" w:space="0" w:color="auto"/>
            <w:left w:val="none" w:sz="0" w:space="0" w:color="auto"/>
            <w:bottom w:val="none" w:sz="0" w:space="0" w:color="auto"/>
            <w:right w:val="none" w:sz="0" w:space="0" w:color="auto"/>
          </w:divBdr>
        </w:div>
        <w:div w:id="516623358">
          <w:marLeft w:val="1267"/>
          <w:marRight w:val="0"/>
          <w:marTop w:val="0"/>
          <w:marBottom w:val="0"/>
          <w:divBdr>
            <w:top w:val="none" w:sz="0" w:space="0" w:color="auto"/>
            <w:left w:val="none" w:sz="0" w:space="0" w:color="auto"/>
            <w:bottom w:val="none" w:sz="0" w:space="0" w:color="auto"/>
            <w:right w:val="none" w:sz="0" w:space="0" w:color="auto"/>
          </w:divBdr>
        </w:div>
        <w:div w:id="624581520">
          <w:marLeft w:val="1267"/>
          <w:marRight w:val="0"/>
          <w:marTop w:val="0"/>
          <w:marBottom w:val="0"/>
          <w:divBdr>
            <w:top w:val="none" w:sz="0" w:space="0" w:color="auto"/>
            <w:left w:val="none" w:sz="0" w:space="0" w:color="auto"/>
            <w:bottom w:val="none" w:sz="0" w:space="0" w:color="auto"/>
            <w:right w:val="none" w:sz="0" w:space="0" w:color="auto"/>
          </w:divBdr>
        </w:div>
      </w:divsChild>
    </w:div>
    <w:div w:id="131383101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58014105">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309E4D9E-6F94-4FED-84CC-77D342DFF498}"/>
</file>

<file path=customXml/itemProps2.xml><?xml version="1.0" encoding="utf-8"?>
<ds:datastoreItem xmlns:ds="http://schemas.openxmlformats.org/officeDocument/2006/customXml" ds:itemID="{002F5CE4-2267-4E4A-ACD5-4138381E9FDB}"/>
</file>

<file path=customXml/itemProps3.xml><?xml version="1.0" encoding="utf-8"?>
<ds:datastoreItem xmlns:ds="http://schemas.openxmlformats.org/officeDocument/2006/customXml" ds:itemID="{811A41C4-480F-4FF4-823F-8E61E36A5B5E}"/>
</file>

<file path=customXml/itemProps4.xml><?xml version="1.0" encoding="utf-8"?>
<ds:datastoreItem xmlns:ds="http://schemas.openxmlformats.org/officeDocument/2006/customXml" ds:itemID="{A92B598E-534F-4584-AC38-21FD098550F6}"/>
</file>

<file path=docProps/app.xml><?xml version="1.0" encoding="utf-8"?>
<Properties xmlns="http://schemas.openxmlformats.org/officeDocument/2006/extended-properties" xmlns:vt="http://schemas.openxmlformats.org/officeDocument/2006/docPropsVTypes">
  <Template>Plantilla Nueva 15dec14.dotx</Template>
  <TotalTime>313</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Distribuciones en Suma Global-Planes de Retiro Cualificados</vt:lpstr>
    </vt:vector>
  </TitlesOfParts>
  <Company>Area de Rentas Internas</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en Suma Global-Planes de Retiro Cualificados</dc:title>
  <dc:subject>Referido</dc:subject>
  <dc:creator>Edgar R Rivera Cruz</dc:creator>
  <cp:keywords>NSAC</cp:keywords>
  <cp:lastModifiedBy>erc0119</cp:lastModifiedBy>
  <cp:revision>38</cp:revision>
  <cp:lastPrinted>2012-05-17T13:48:00Z</cp:lastPrinted>
  <dcterms:created xsi:type="dcterms:W3CDTF">2015-01-28T20:53:00Z</dcterms:created>
  <dcterms:modified xsi:type="dcterms:W3CDTF">2015-09-18T18:29:00Z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