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3E217C" w:rsidRPr="001E6981" w:rsidTr="003F5892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217C" w:rsidRPr="001E6981" w:rsidRDefault="003E217C" w:rsidP="003F5892">
            <w:pPr>
              <w:pStyle w:val="NormalWeb"/>
              <w:spacing w:after="0" w:afterAutospacing="0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drawing>
                <wp:inline distT="0" distB="0" distL="0" distR="0">
                  <wp:extent cx="247650" cy="285750"/>
                  <wp:effectExtent l="19050" t="0" r="0" b="0"/>
                  <wp:docPr id="2" name="Picture 1" descr="foofic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fic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217C" w:rsidRPr="001E6981" w:rsidRDefault="003E217C" w:rsidP="003F5892">
            <w:pPr>
              <w:spacing w:before="100" w:beforeAutospacing="1"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Información sobre el s</w:t>
            </w:r>
            <w:r w:rsidRPr="001E6981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6215B3" w:rsidRDefault="006215B3" w:rsidP="003E217C">
      <w:pPr>
        <w:pStyle w:val="Heading1"/>
        <w:numPr>
          <w:ilvl w:val="0"/>
          <w:numId w:val="23"/>
        </w:numPr>
        <w:spacing w:before="12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 w:rsidRPr="006215B3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Instrumento para asegurar el cobro de una deuda contributiva, cuando el contribuyente ha incumplido con los términos concedidos para el pago de la misma.  </w:t>
      </w:r>
    </w:p>
    <w:p w:rsidR="003E217C" w:rsidRPr="006215B3" w:rsidRDefault="003E217C" w:rsidP="00AD1692">
      <w:pPr>
        <w:pStyle w:val="Heading1"/>
        <w:numPr>
          <w:ilvl w:val="0"/>
          <w:numId w:val="23"/>
        </w:numPr>
        <w:spacing w:before="120" w:after="12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 w:rsidRPr="006215B3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Proveer de forma organizada los records y la información sobre las gestiones de cobro realizadas a fin de tener una fuente confiable para los métodos de seguimiento a usarse y los informes periódicos a rendirse. </w:t>
      </w:r>
    </w:p>
    <w:tbl>
      <w:tblPr>
        <w:tblW w:w="10291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9475"/>
      </w:tblGrid>
      <w:tr w:rsidR="003E217C" w:rsidRPr="00BA0BB5" w:rsidTr="003F5892">
        <w:trPr>
          <w:trHeight w:val="446"/>
        </w:trPr>
        <w:tc>
          <w:tcPr>
            <w:tcW w:w="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217C" w:rsidRPr="00BA0BB5" w:rsidRDefault="003E217C" w:rsidP="003F5892">
            <w:pPr>
              <w:pStyle w:val="NormalWeb"/>
              <w:spacing w:after="0" w:afterAutospacing="0"/>
              <w:rPr>
                <w:lang w:val="es-PR"/>
              </w:rPr>
            </w:pPr>
            <w:r w:rsidRPr="00BA0BB5">
              <w:rPr>
                <w:noProof/>
              </w:rPr>
              <w:drawing>
                <wp:inline distT="0" distB="0" distL="0" distR="0">
                  <wp:extent cx="352425" cy="228600"/>
                  <wp:effectExtent l="19050" t="0" r="9525" b="0"/>
                  <wp:docPr id="4" name="Picture 4" descr="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5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217C" w:rsidRPr="00732DAC" w:rsidRDefault="003E217C" w:rsidP="003F5892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732DAC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Clasificación del contribuyente</w:t>
            </w:r>
          </w:p>
        </w:tc>
      </w:tr>
    </w:tbl>
    <w:p w:rsidR="003E217C" w:rsidRDefault="003E217C" w:rsidP="00AD1692">
      <w:pPr>
        <w:pStyle w:val="ListParagraph"/>
        <w:numPr>
          <w:ilvl w:val="0"/>
          <w:numId w:val="1"/>
        </w:numPr>
        <w:spacing w:before="120" w:after="120" w:line="240" w:lineRule="auto"/>
        <w:ind w:right="-230"/>
        <w:rPr>
          <w:rFonts w:ascii="Times New Roman" w:eastAsia="Times New Roman" w:hAnsi="Times New Roman"/>
          <w:sz w:val="24"/>
          <w:szCs w:val="24"/>
          <w:lang w:val="es-ES"/>
        </w:rPr>
      </w:pPr>
      <w:r w:rsidRPr="00BA0BB5">
        <w:rPr>
          <w:rFonts w:ascii="Times New Roman" w:eastAsia="Times New Roman" w:hAnsi="Times New Roman"/>
          <w:sz w:val="24"/>
          <w:szCs w:val="24"/>
          <w:lang w:val="es-ES"/>
        </w:rPr>
        <w:t>Individuos</w:t>
      </w:r>
    </w:p>
    <w:p w:rsidR="00173FEA" w:rsidRPr="00BA0BB5" w:rsidRDefault="00173FEA" w:rsidP="00AD1692">
      <w:pPr>
        <w:pStyle w:val="ListParagraph"/>
        <w:numPr>
          <w:ilvl w:val="0"/>
          <w:numId w:val="1"/>
        </w:numPr>
        <w:spacing w:before="120" w:after="120" w:line="240" w:lineRule="auto"/>
        <w:ind w:right="-230"/>
        <w:rPr>
          <w:rFonts w:ascii="Times New Roman" w:eastAsia="Times New Roman" w:hAnsi="Times New Roman"/>
          <w:sz w:val="24"/>
          <w:szCs w:val="24"/>
          <w:lang w:val="es-ES"/>
        </w:rPr>
      </w:pPr>
      <w:r>
        <w:rPr>
          <w:rFonts w:ascii="Times New Roman" w:eastAsia="Times New Roman" w:hAnsi="Times New Roman"/>
          <w:sz w:val="24"/>
          <w:szCs w:val="24"/>
          <w:lang w:val="es-ES"/>
        </w:rPr>
        <w:t>Entidades (Corporaciones – D/B/A</w:t>
      </w:r>
      <w:r w:rsidR="004A0999">
        <w:rPr>
          <w:rFonts w:ascii="Times New Roman" w:eastAsia="Times New Roman" w:hAnsi="Times New Roman"/>
          <w:sz w:val="24"/>
          <w:szCs w:val="24"/>
          <w:lang w:val="es-ES"/>
        </w:rPr>
        <w:t>)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9462"/>
      </w:tblGrid>
      <w:tr w:rsidR="003E217C" w:rsidRPr="008271EA" w:rsidTr="003F5892">
        <w:trPr>
          <w:trHeight w:val="20"/>
        </w:trPr>
        <w:tc>
          <w:tcPr>
            <w:tcW w:w="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217C" w:rsidRPr="00BA0BB5" w:rsidRDefault="003E217C" w:rsidP="003F5892">
            <w:pPr>
              <w:pStyle w:val="NormalWeb"/>
              <w:spacing w:before="120" w:beforeAutospacing="0" w:after="0" w:afterAutospacing="0"/>
              <w:rPr>
                <w:lang w:val="es-PR"/>
              </w:rPr>
            </w:pPr>
            <w:r w:rsidRPr="00BA0BB5">
              <w:rPr>
                <w:noProof/>
              </w:rPr>
              <w:drawing>
                <wp:inline distT="0" distB="0" distL="0" distR="0">
                  <wp:extent cx="248771" cy="228600"/>
                  <wp:effectExtent l="19050" t="0" r="0" b="0"/>
                  <wp:docPr id="7" name="Picture 7" descr="f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71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217C" w:rsidRPr="00732DAC" w:rsidRDefault="003E217C" w:rsidP="003F5892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732DAC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Procedimientos y documentos referentes al servicio</w:t>
            </w:r>
          </w:p>
        </w:tc>
      </w:tr>
    </w:tbl>
    <w:p w:rsidR="003E217C" w:rsidRDefault="006F4F4C" w:rsidP="006F4F4C">
      <w:pPr>
        <w:pStyle w:val="Heading1"/>
        <w:spacing w:before="120" w:after="12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Selección de Casos para Embargo</w:t>
      </w:r>
    </w:p>
    <w:p w:rsidR="00A32D07" w:rsidRDefault="00A32D07" w:rsidP="00A32D07">
      <w:pPr>
        <w:pStyle w:val="Heading1"/>
        <w:numPr>
          <w:ilvl w:val="0"/>
          <w:numId w:val="25"/>
        </w:numPr>
        <w:spacing w:before="120" w:after="12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>Si no respondió Notificaciones de Deuda (Avisos electrónicos).</w:t>
      </w:r>
    </w:p>
    <w:p w:rsidR="00A32D07" w:rsidRDefault="00A32D07" w:rsidP="00A32D07">
      <w:pPr>
        <w:pStyle w:val="Heading1"/>
        <w:numPr>
          <w:ilvl w:val="0"/>
          <w:numId w:val="25"/>
        </w:numPr>
        <w:spacing w:before="120" w:after="12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>Si incumplió un plan de pago.</w:t>
      </w:r>
    </w:p>
    <w:p w:rsidR="00A32D07" w:rsidRDefault="00A32D07" w:rsidP="00A32D07">
      <w:pPr>
        <w:pStyle w:val="Heading1"/>
        <w:numPr>
          <w:ilvl w:val="0"/>
          <w:numId w:val="25"/>
        </w:numPr>
        <w:spacing w:before="120" w:after="12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>Luego de notificado el embargo, el contribuyente tiene 30 días para que se evalúe caso nuevamente.</w:t>
      </w:r>
    </w:p>
    <w:p w:rsidR="006F4F4C" w:rsidRPr="004A0999" w:rsidRDefault="006F4F4C" w:rsidP="006F4F4C">
      <w:pPr>
        <w:pStyle w:val="Heading1"/>
        <w:numPr>
          <w:ilvl w:val="0"/>
          <w:numId w:val="1"/>
        </w:numPr>
        <w:spacing w:before="120" w:after="12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 w:rsidRPr="004A0999">
        <w:rPr>
          <w:rFonts w:ascii="Times New Roman" w:hAnsi="Times New Roman" w:cs="Times New Roman"/>
          <w:b w:val="0"/>
          <w:sz w:val="24"/>
          <w:szCs w:val="24"/>
          <w:lang w:val="es-ES"/>
        </w:rPr>
        <w:t>Fuente de Información</w:t>
      </w:r>
    </w:p>
    <w:p w:rsidR="006F4F4C" w:rsidRDefault="006F4F4C" w:rsidP="006F4F4C">
      <w:pPr>
        <w:pStyle w:val="Heading1"/>
        <w:numPr>
          <w:ilvl w:val="0"/>
          <w:numId w:val="24"/>
        </w:numPr>
        <w:spacing w:before="120" w:after="12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 w:rsidRPr="006F4F4C">
        <w:rPr>
          <w:rFonts w:ascii="Times New Roman" w:hAnsi="Times New Roman" w:cs="Times New Roman"/>
          <w:b w:val="0"/>
          <w:sz w:val="24"/>
          <w:szCs w:val="24"/>
          <w:lang w:val="es-ES"/>
        </w:rPr>
        <w:t>Planes de Pago con 2 ó más plazos atrasados.</w:t>
      </w:r>
    </w:p>
    <w:p w:rsidR="006F4F4C" w:rsidRDefault="006F4F4C" w:rsidP="006F4F4C">
      <w:pPr>
        <w:pStyle w:val="Heading1"/>
        <w:numPr>
          <w:ilvl w:val="0"/>
          <w:numId w:val="24"/>
        </w:numPr>
        <w:spacing w:before="120" w:after="12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>Lista de deudas contributivas que es suministrado por PRITAS y que es solicitado dos veces al año.</w:t>
      </w:r>
    </w:p>
    <w:p w:rsidR="003E217C" w:rsidRDefault="003E217C" w:rsidP="003E217C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</w:p>
    <w:p w:rsidR="003E217C" w:rsidRDefault="003E217C" w:rsidP="003E217C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I</w:t>
      </w:r>
      <w:r w:rsidRPr="00DB2582">
        <w:rPr>
          <w:rFonts w:ascii="Times New Roman" w:hAnsi="Times New Roman" w:cs="Times New Roman"/>
          <w:sz w:val="24"/>
          <w:szCs w:val="24"/>
          <w:lang w:val="es-ES"/>
        </w:rPr>
        <w:t>nici</w:t>
      </w:r>
      <w:r w:rsidR="00007E13">
        <w:rPr>
          <w:rFonts w:ascii="Times New Roman" w:hAnsi="Times New Roman" w:cs="Times New Roman"/>
          <w:sz w:val="24"/>
          <w:szCs w:val="24"/>
          <w:lang w:val="es-ES"/>
        </w:rPr>
        <w:t>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P</w:t>
      </w:r>
      <w:r w:rsidRPr="00DB2582">
        <w:rPr>
          <w:rFonts w:ascii="Times New Roman" w:hAnsi="Times New Roman" w:cs="Times New Roman"/>
          <w:sz w:val="24"/>
          <w:szCs w:val="24"/>
          <w:lang w:val="es-ES"/>
        </w:rPr>
        <w:t xml:space="preserve">rocedimientos de </w:t>
      </w:r>
      <w:r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DB2582">
        <w:rPr>
          <w:rFonts w:ascii="Times New Roman" w:hAnsi="Times New Roman" w:cs="Times New Roman"/>
          <w:sz w:val="24"/>
          <w:szCs w:val="24"/>
          <w:lang w:val="es-ES"/>
        </w:rPr>
        <w:t xml:space="preserve">mbargo </w:t>
      </w:r>
    </w:p>
    <w:p w:rsidR="003E217C" w:rsidRDefault="00007E13" w:rsidP="003E217C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>Se inicia el p</w:t>
      </w:r>
      <w:r w:rsidR="003E217C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roceso de embargo </w:t>
      </w:r>
      <w:r w:rsidR="009B744E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toda vez que el contribuyente haya recibido las tres Notificaciones de Deuda y el Aviso de embargo, </w:t>
      </w:r>
      <w:r w:rsidR="003E217C">
        <w:rPr>
          <w:rFonts w:ascii="Times New Roman" w:hAnsi="Times New Roman" w:cs="Times New Roman"/>
          <w:b w:val="0"/>
          <w:sz w:val="24"/>
          <w:szCs w:val="24"/>
          <w:lang w:val="es-ES"/>
        </w:rPr>
        <w:t>de acuerdo con los procedim</w:t>
      </w:r>
      <w:r w:rsidR="009B744E">
        <w:rPr>
          <w:rFonts w:ascii="Times New Roman" w:hAnsi="Times New Roman" w:cs="Times New Roman"/>
          <w:b w:val="0"/>
          <w:sz w:val="24"/>
          <w:szCs w:val="24"/>
          <w:lang w:val="es-ES"/>
        </w:rPr>
        <w:t>ientos administrativos.</w:t>
      </w:r>
    </w:p>
    <w:p w:rsidR="003E217C" w:rsidRPr="00631C7A" w:rsidRDefault="003E217C" w:rsidP="003E217C">
      <w:pPr>
        <w:pStyle w:val="Heading1"/>
        <w:spacing w:before="0" w:after="0"/>
        <w:ind w:left="1440"/>
        <w:rPr>
          <w:rFonts w:ascii="Times New Roman" w:hAnsi="Times New Roman" w:cs="Times New Roman"/>
          <w:b w:val="0"/>
          <w:sz w:val="24"/>
          <w:szCs w:val="24"/>
          <w:lang w:val="es-ES"/>
        </w:rPr>
      </w:pPr>
    </w:p>
    <w:p w:rsidR="003E217C" w:rsidRPr="00631C7A" w:rsidRDefault="003E217C" w:rsidP="003E217C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  <w:lang w:val="es-ES"/>
        </w:rPr>
      </w:pPr>
      <w:r w:rsidRPr="00631C7A">
        <w:rPr>
          <w:rFonts w:ascii="Times New Roman" w:hAnsi="Times New Roman" w:cs="Times New Roman"/>
          <w:sz w:val="24"/>
          <w:szCs w:val="24"/>
          <w:lang w:val="es-ES"/>
        </w:rPr>
        <w:t>Notificaciones de Deuda</w:t>
      </w:r>
    </w:p>
    <w:p w:rsidR="003E217C" w:rsidRDefault="003E217C" w:rsidP="003E217C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Estas comunicaciones se procesan en el sistema </w:t>
      </w:r>
      <w:r w:rsidRPr="00DB2582">
        <w:rPr>
          <w:rFonts w:ascii="Times New Roman" w:hAnsi="Times New Roman" w:cs="Times New Roman"/>
          <w:b w:val="0"/>
          <w:sz w:val="24"/>
          <w:szCs w:val="24"/>
          <w:lang w:val="es-ES"/>
        </w:rPr>
        <w:t>PRITAS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, cambiando la acción del caso en la conversación </w:t>
      </w:r>
      <w:r w:rsidRPr="00064D8A">
        <w:rPr>
          <w:rFonts w:ascii="Times New Roman" w:hAnsi="Times New Roman" w:cs="Times New Roman"/>
          <w:sz w:val="24"/>
          <w:szCs w:val="24"/>
          <w:lang w:val="es-ES"/>
        </w:rPr>
        <w:t>F625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>:</w:t>
      </w:r>
    </w:p>
    <w:p w:rsidR="003E217C" w:rsidRDefault="003E217C" w:rsidP="003E217C">
      <w:pPr>
        <w:pStyle w:val="Heading1"/>
        <w:numPr>
          <w:ilvl w:val="0"/>
          <w:numId w:val="13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 w:rsidRPr="006F5253">
        <w:rPr>
          <w:rFonts w:ascii="Times New Roman" w:hAnsi="Times New Roman" w:cs="Times New Roman"/>
          <w:sz w:val="24"/>
          <w:szCs w:val="24"/>
          <w:lang w:val="es-ES"/>
        </w:rPr>
        <w:t>Primera Notificación de Deuda</w:t>
      </w:r>
      <w:r w:rsidRPr="006F5253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- </w:t>
      </w:r>
      <w:r w:rsidRPr="006F5253">
        <w:rPr>
          <w:rFonts w:ascii="Times New Roman" w:hAnsi="Times New Roman" w:cs="Times New Roman"/>
          <w:sz w:val="24"/>
          <w:szCs w:val="24"/>
          <w:lang w:val="es-ES"/>
        </w:rPr>
        <w:t>Acción 251</w:t>
      </w:r>
      <w:r w:rsidRPr="006F5253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>–</w:t>
      </w:r>
      <w:r w:rsidRPr="006F5253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Se espera que el contribuyente cumpla con el pago de la deuda. </w:t>
      </w:r>
    </w:p>
    <w:p w:rsidR="003E217C" w:rsidRDefault="003E217C" w:rsidP="003E217C">
      <w:pPr>
        <w:pStyle w:val="Heading1"/>
        <w:numPr>
          <w:ilvl w:val="0"/>
          <w:numId w:val="13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 w:rsidRPr="006F5253">
        <w:rPr>
          <w:rFonts w:ascii="Times New Roman" w:hAnsi="Times New Roman" w:cs="Times New Roman"/>
          <w:sz w:val="24"/>
          <w:szCs w:val="24"/>
          <w:lang w:val="es-ES"/>
        </w:rPr>
        <w:t xml:space="preserve">Segunda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Notificación de Deuda -Acción 255 – 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>Se envía si luego de transcurridos treinta (30) días de haber enviado la primera notificación el contribuyente hace caso omiso a la gestión de cobro.</w:t>
      </w:r>
    </w:p>
    <w:p w:rsidR="003E217C" w:rsidRDefault="003E217C" w:rsidP="003E217C">
      <w:pPr>
        <w:pStyle w:val="Heading1"/>
        <w:numPr>
          <w:ilvl w:val="0"/>
          <w:numId w:val="13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lastRenderedPageBreak/>
        <w:t>Tercera</w:t>
      </w:r>
      <w:r w:rsidRPr="006F525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Notificación de Deuda -Acción 257 – 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>Se envía si luego de transcurridos treinta (30) días de haber enviado la segunda notificación el contribuyente hace caso omiso a la gestión de cobro.</w:t>
      </w:r>
    </w:p>
    <w:p w:rsidR="003E217C" w:rsidRDefault="003E217C" w:rsidP="003E217C">
      <w:pPr>
        <w:pStyle w:val="Heading1"/>
        <w:numPr>
          <w:ilvl w:val="0"/>
          <w:numId w:val="13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 w:rsidRPr="006F5253">
        <w:rPr>
          <w:rFonts w:ascii="Times New Roman" w:hAnsi="Times New Roman" w:cs="Times New Roman"/>
          <w:sz w:val="24"/>
          <w:szCs w:val="24"/>
          <w:lang w:val="es-ES"/>
        </w:rPr>
        <w:t>Aviso de Embargo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– Acción 263 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- Informa que la cuenta de banco está </w:t>
      </w:r>
      <w:r w:rsidR="004A0999">
        <w:rPr>
          <w:rFonts w:ascii="Times New Roman" w:hAnsi="Times New Roman" w:cs="Times New Roman"/>
          <w:b w:val="0"/>
          <w:sz w:val="24"/>
          <w:szCs w:val="24"/>
          <w:lang w:val="es-ES"/>
        </w:rPr>
        <w:t>próxima a ser embargada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. Se envía si luego de transcurridos treinta (30) días de haber enviado la tercera notificación el contribuyente hace caso omiso a la gestión de cobro. </w:t>
      </w:r>
    </w:p>
    <w:p w:rsidR="004A0999" w:rsidRDefault="003E217C" w:rsidP="003E217C">
      <w:pPr>
        <w:pStyle w:val="Heading1"/>
        <w:numPr>
          <w:ilvl w:val="0"/>
          <w:numId w:val="13"/>
        </w:numPr>
        <w:spacing w:before="0" w:after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Embargo a la Cuenta de Banco- Acción 264</w:t>
      </w:r>
    </w:p>
    <w:p w:rsidR="004A0999" w:rsidRDefault="004A0999" w:rsidP="004A0999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  <w:lang w:val="es-ES"/>
        </w:rPr>
      </w:pPr>
    </w:p>
    <w:p w:rsidR="003E217C" w:rsidRPr="004A0999" w:rsidRDefault="003E217C" w:rsidP="004A0999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  <w:lang w:val="es-ES"/>
        </w:rPr>
      </w:pPr>
      <w:r w:rsidRPr="004A0999">
        <w:rPr>
          <w:rFonts w:ascii="Times New Roman" w:hAnsi="Times New Roman" w:cs="Times New Roman"/>
          <w:sz w:val="24"/>
          <w:szCs w:val="24"/>
          <w:lang w:val="es-ES"/>
        </w:rPr>
        <w:t xml:space="preserve">¿Qué es un embargo? </w:t>
      </w:r>
    </w:p>
    <w:p w:rsidR="004A0999" w:rsidRPr="004A0999" w:rsidRDefault="004A0999" w:rsidP="004A0999">
      <w:pPr>
        <w:spacing w:after="150" w:line="315" w:lineRule="atLeast"/>
        <w:rPr>
          <w:rFonts w:ascii="Times New Roman" w:eastAsia="Times New Roman" w:hAnsi="Times New Roman"/>
          <w:sz w:val="24"/>
          <w:szCs w:val="24"/>
          <w:lang w:val="es-ES"/>
        </w:rPr>
      </w:pPr>
      <w:r w:rsidRPr="004A0999">
        <w:rPr>
          <w:rFonts w:ascii="Times New Roman" w:eastAsia="Times New Roman" w:hAnsi="Times New Roman"/>
          <w:sz w:val="24"/>
          <w:szCs w:val="24"/>
          <w:lang w:val="es-ES"/>
        </w:rPr>
        <w:t>Un embargo de bienes muebles e inmuebles es un instrumento para asegurar el cobro de una deuda contributiva, cuando el contribuyente ha incumplido con los términos concedidos para el pago de la misma.</w:t>
      </w:r>
      <w:r>
        <w:rPr>
          <w:rFonts w:ascii="Times New Roman" w:eastAsia="Times New Roman" w:hAnsi="Times New Roman"/>
          <w:sz w:val="24"/>
          <w:szCs w:val="24"/>
          <w:lang w:val="es-ES"/>
        </w:rPr>
        <w:t xml:space="preserve">  En este caso el embargo electrónico es un embargo de bien inmueble.</w:t>
      </w:r>
    </w:p>
    <w:p w:rsidR="003E217C" w:rsidRDefault="003E217C" w:rsidP="003E217C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  <w:lang w:val="es-ES"/>
        </w:rPr>
      </w:pPr>
    </w:p>
    <w:p w:rsidR="003E217C" w:rsidRDefault="003E217C" w:rsidP="003E217C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Proceso de Cobro Bajo la </w:t>
      </w:r>
      <w:r w:rsidRPr="00CB2AA4">
        <w:rPr>
          <w:rFonts w:ascii="Times New Roman" w:hAnsi="Times New Roman" w:cs="Times New Roman"/>
          <w:sz w:val="24"/>
          <w:szCs w:val="24"/>
          <w:lang w:val="es-ES"/>
        </w:rPr>
        <w:t>Ley de Quiebra</w:t>
      </w:r>
    </w:p>
    <w:p w:rsidR="005A0BB7" w:rsidRDefault="005A0BB7" w:rsidP="005A0BB7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>En el proceso de la gestión de cobro se encuentran casos que están bajo la Ley de Quiebra.</w:t>
      </w:r>
    </w:p>
    <w:p w:rsidR="005A0BB7" w:rsidRDefault="004A0999" w:rsidP="003E217C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>E</w:t>
      </w:r>
      <w:r w:rsidR="003E217C">
        <w:rPr>
          <w:rFonts w:ascii="Times New Roman" w:hAnsi="Times New Roman" w:cs="Times New Roman"/>
          <w:b w:val="0"/>
          <w:sz w:val="24"/>
          <w:szCs w:val="24"/>
          <w:lang w:val="es-ES"/>
        </w:rPr>
        <w:t>stos casos se transfieren al Área de Quiebras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 toda vez que tengan el indicador de quiebra en el Sistema PRITAS y se haya confirmado con </w:t>
      </w:r>
      <w:r w:rsidR="005A0BB7">
        <w:rPr>
          <w:rFonts w:ascii="Times New Roman" w:hAnsi="Times New Roman" w:cs="Times New Roman"/>
          <w:b w:val="0"/>
          <w:sz w:val="24"/>
          <w:szCs w:val="24"/>
          <w:lang w:val="es-ES"/>
        </w:rPr>
        <w:t>dicha oficina.</w:t>
      </w:r>
    </w:p>
    <w:p w:rsidR="003E217C" w:rsidRDefault="004A0999" w:rsidP="003E217C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 </w:t>
      </w:r>
    </w:p>
    <w:p w:rsidR="003E217C" w:rsidRPr="00D607AD" w:rsidRDefault="003E217C" w:rsidP="003E217C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Consulta</w:t>
      </w:r>
      <w:r w:rsidRPr="00D607A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y </w:t>
      </w:r>
      <w:r w:rsidRPr="00D607AD">
        <w:rPr>
          <w:rFonts w:ascii="Times New Roman" w:hAnsi="Times New Roman" w:cs="Times New Roman"/>
          <w:sz w:val="24"/>
          <w:szCs w:val="24"/>
          <w:lang w:val="es-ES"/>
        </w:rPr>
        <w:t xml:space="preserve">Actualización de Datos Biográficos </w:t>
      </w:r>
    </w:p>
    <w:p w:rsidR="003E217C" w:rsidRPr="00D607AD" w:rsidRDefault="003E217C" w:rsidP="003E217C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 w:rsidRPr="00D607AD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Se procederá a actualizar información del contribuyente en 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>PRITAS, esta sección permite consultar planillas de corporación, de individuos donde se detallan intereses, recargos, multas, penalidades, fecha de radicación y lista de transacciones, planes de pago, se crean los casos y notas en los mismos.</w:t>
      </w:r>
    </w:p>
    <w:p w:rsidR="003E217C" w:rsidRPr="0059141E" w:rsidRDefault="003E217C" w:rsidP="003E217C">
      <w:pPr>
        <w:pStyle w:val="Heading1"/>
        <w:numPr>
          <w:ilvl w:val="0"/>
          <w:numId w:val="17"/>
        </w:numPr>
        <w:spacing w:before="0" w:after="0"/>
        <w:rPr>
          <w:rFonts w:ascii="Times New Roman" w:hAnsi="Times New Roman" w:cs="Times New Roman"/>
          <w:sz w:val="24"/>
          <w:szCs w:val="24"/>
          <w:lang w:val="es-ES"/>
        </w:rPr>
      </w:pPr>
      <w:r w:rsidRPr="0059141E">
        <w:rPr>
          <w:rFonts w:ascii="Times New Roman" w:hAnsi="Times New Roman" w:cs="Times New Roman"/>
          <w:sz w:val="24"/>
          <w:szCs w:val="24"/>
          <w:lang w:val="es-ES"/>
        </w:rPr>
        <w:t>Conversaciones</w:t>
      </w:r>
    </w:p>
    <w:p w:rsidR="003E217C" w:rsidRDefault="003E217C" w:rsidP="003E217C">
      <w:pPr>
        <w:pStyle w:val="Heading1"/>
        <w:numPr>
          <w:ilvl w:val="0"/>
          <w:numId w:val="9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 w:rsidRPr="0059141E">
        <w:rPr>
          <w:rFonts w:ascii="Times New Roman" w:hAnsi="Times New Roman" w:cs="Times New Roman"/>
          <w:sz w:val="24"/>
          <w:szCs w:val="24"/>
          <w:lang w:val="es-ES"/>
        </w:rPr>
        <w:t>F101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ab/>
        <w:t>Consulta de Datos Biográficos de contribuyentes Individuos y Corporaciones.</w:t>
      </w:r>
    </w:p>
    <w:p w:rsidR="003E217C" w:rsidRDefault="003E217C" w:rsidP="003E217C">
      <w:pPr>
        <w:pStyle w:val="Heading1"/>
        <w:numPr>
          <w:ilvl w:val="0"/>
          <w:numId w:val="9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 w:rsidRPr="0059141E">
        <w:rPr>
          <w:rFonts w:ascii="Times New Roman" w:hAnsi="Times New Roman" w:cs="Times New Roman"/>
          <w:sz w:val="24"/>
          <w:szCs w:val="24"/>
          <w:lang w:val="es-ES"/>
        </w:rPr>
        <w:t>F109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ab/>
      </w:r>
      <w:r w:rsidR="005A0BB7">
        <w:rPr>
          <w:rFonts w:ascii="Times New Roman" w:hAnsi="Times New Roman" w:cs="Times New Roman"/>
          <w:b w:val="0"/>
          <w:sz w:val="24"/>
          <w:szCs w:val="24"/>
          <w:lang w:val="es-ES"/>
        </w:rPr>
        <w:t>Contribuyente por tipos de dirección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>.</w:t>
      </w:r>
    </w:p>
    <w:p w:rsidR="003E217C" w:rsidRPr="00515BD8" w:rsidRDefault="003E217C" w:rsidP="003E217C">
      <w:pPr>
        <w:pStyle w:val="Heading1"/>
        <w:numPr>
          <w:ilvl w:val="0"/>
          <w:numId w:val="9"/>
        </w:numPr>
        <w:spacing w:before="0" w:after="0"/>
        <w:rPr>
          <w:rFonts w:ascii="Times New Roman" w:hAnsi="Times New Roman" w:cs="Times New Roman"/>
          <w:sz w:val="24"/>
          <w:szCs w:val="24"/>
          <w:lang w:val="es-ES"/>
        </w:rPr>
      </w:pPr>
      <w:r w:rsidRPr="0059141E">
        <w:rPr>
          <w:rFonts w:ascii="Times New Roman" w:hAnsi="Times New Roman" w:cs="Times New Roman"/>
          <w:sz w:val="24"/>
          <w:szCs w:val="24"/>
          <w:lang w:val="es-ES"/>
        </w:rPr>
        <w:t>F208</w:t>
      </w:r>
      <w:r w:rsidRPr="00515BD8">
        <w:rPr>
          <w:rFonts w:ascii="Times New Roman" w:hAnsi="Times New Roman" w:cs="Times New Roman"/>
          <w:b w:val="0"/>
          <w:sz w:val="24"/>
          <w:szCs w:val="24"/>
          <w:lang w:val="es-ES"/>
        </w:rPr>
        <w:tab/>
        <w:t>Detalle de las Planillas de Individuos y Planillas de Corporación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>.</w:t>
      </w:r>
      <w:r w:rsidR="005A0BB7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  Todas las transacciones que se han realizado en cada periodo. </w:t>
      </w:r>
    </w:p>
    <w:p w:rsidR="003E217C" w:rsidRPr="00515BD8" w:rsidRDefault="003E217C" w:rsidP="003E217C">
      <w:pPr>
        <w:pStyle w:val="Heading1"/>
        <w:numPr>
          <w:ilvl w:val="0"/>
          <w:numId w:val="9"/>
        </w:numPr>
        <w:spacing w:before="0" w:after="0"/>
        <w:rPr>
          <w:rFonts w:ascii="Times New Roman" w:hAnsi="Times New Roman" w:cs="Times New Roman"/>
          <w:sz w:val="24"/>
          <w:szCs w:val="24"/>
          <w:lang w:val="es-ES"/>
        </w:rPr>
      </w:pPr>
      <w:r w:rsidRPr="0059141E">
        <w:rPr>
          <w:rFonts w:ascii="Times New Roman" w:hAnsi="Times New Roman" w:cs="Times New Roman"/>
          <w:sz w:val="24"/>
          <w:szCs w:val="24"/>
          <w:lang w:val="es-ES"/>
        </w:rPr>
        <w:t>F502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ab/>
        <w:t xml:space="preserve">Se crean planes de pago en conjunto con la Conversación </w:t>
      </w:r>
      <w:r w:rsidRPr="0059141E">
        <w:rPr>
          <w:rFonts w:ascii="Times New Roman" w:hAnsi="Times New Roman" w:cs="Times New Roman"/>
          <w:sz w:val="24"/>
          <w:szCs w:val="24"/>
          <w:lang w:val="es-ES"/>
        </w:rPr>
        <w:t>F625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>.</w:t>
      </w:r>
    </w:p>
    <w:p w:rsidR="003E217C" w:rsidRPr="00515BD8" w:rsidRDefault="003E217C" w:rsidP="003E217C">
      <w:pPr>
        <w:pStyle w:val="Heading1"/>
        <w:numPr>
          <w:ilvl w:val="0"/>
          <w:numId w:val="9"/>
        </w:numPr>
        <w:spacing w:before="0" w:after="0"/>
        <w:rPr>
          <w:rFonts w:ascii="Times New Roman" w:hAnsi="Times New Roman" w:cs="Times New Roman"/>
          <w:sz w:val="24"/>
          <w:szCs w:val="24"/>
          <w:lang w:val="es-ES"/>
        </w:rPr>
      </w:pPr>
      <w:r w:rsidRPr="0059141E">
        <w:rPr>
          <w:rFonts w:ascii="Times New Roman" w:hAnsi="Times New Roman" w:cs="Times New Roman"/>
          <w:sz w:val="24"/>
          <w:szCs w:val="24"/>
          <w:lang w:val="es-ES"/>
        </w:rPr>
        <w:t>F607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ab/>
        <w:t>Permite unir ID Casos</w:t>
      </w:r>
    </w:p>
    <w:p w:rsidR="003E217C" w:rsidRPr="00E330D2" w:rsidRDefault="003E217C" w:rsidP="003E217C">
      <w:pPr>
        <w:pStyle w:val="Heading1"/>
        <w:numPr>
          <w:ilvl w:val="0"/>
          <w:numId w:val="9"/>
        </w:numPr>
        <w:spacing w:before="0" w:after="0"/>
        <w:rPr>
          <w:rFonts w:ascii="Times New Roman" w:hAnsi="Times New Roman" w:cs="Times New Roman"/>
          <w:sz w:val="24"/>
          <w:szCs w:val="24"/>
          <w:lang w:val="es-ES"/>
        </w:rPr>
      </w:pPr>
      <w:r w:rsidRPr="0059141E">
        <w:rPr>
          <w:rFonts w:ascii="Times New Roman" w:hAnsi="Times New Roman" w:cs="Times New Roman"/>
          <w:sz w:val="24"/>
          <w:szCs w:val="24"/>
          <w:lang w:val="es-ES"/>
        </w:rPr>
        <w:t>F620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ab/>
        <w:t>Solicitar ID Grupos y es cuando se agrupará deuda de soltero y deuda de casado en un solo número de caso.</w:t>
      </w:r>
    </w:p>
    <w:p w:rsidR="003E217C" w:rsidRPr="00515BD8" w:rsidRDefault="003E217C" w:rsidP="003E217C">
      <w:pPr>
        <w:pStyle w:val="Heading1"/>
        <w:numPr>
          <w:ilvl w:val="0"/>
          <w:numId w:val="9"/>
        </w:numPr>
        <w:spacing w:before="0" w:after="0"/>
        <w:rPr>
          <w:rFonts w:ascii="Times New Roman" w:hAnsi="Times New Roman" w:cs="Times New Roman"/>
          <w:sz w:val="24"/>
          <w:szCs w:val="24"/>
          <w:lang w:val="es-ES"/>
        </w:rPr>
      </w:pPr>
      <w:r w:rsidRPr="0059141E">
        <w:rPr>
          <w:rFonts w:ascii="Times New Roman" w:hAnsi="Times New Roman" w:cs="Times New Roman"/>
          <w:sz w:val="24"/>
          <w:szCs w:val="24"/>
          <w:lang w:val="es-ES"/>
        </w:rPr>
        <w:t>F625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ab/>
        <w:t>Se crean planes de pago junto con la conversación F502, se Crean y se Cierran Casos, se consulta Caso ya creado, se Transfieren casos a Servicio a Contribuyente, Embargo, Enmendadas, Quiebra, Descuento de Sueldo y Distritos de Cobro.  También se crearán notas de cada cambio que se realice.</w:t>
      </w:r>
    </w:p>
    <w:p w:rsidR="003E217C" w:rsidRPr="00094355" w:rsidRDefault="003E217C" w:rsidP="003E217C">
      <w:pPr>
        <w:pStyle w:val="NormalWeb"/>
        <w:spacing w:after="0" w:afterAutospacing="0"/>
        <w:rPr>
          <w:b/>
          <w:lang w:val="es-ES"/>
        </w:rPr>
      </w:pPr>
      <w:r w:rsidRPr="00094355">
        <w:rPr>
          <w:b/>
          <w:lang w:val="es-ES"/>
        </w:rPr>
        <w:t xml:space="preserve">Se considera una Deuda </w:t>
      </w:r>
      <w:r w:rsidR="005A0BB7">
        <w:rPr>
          <w:b/>
          <w:lang w:val="es-ES"/>
        </w:rPr>
        <w:t>Vencida</w:t>
      </w:r>
      <w:r w:rsidRPr="00094355">
        <w:rPr>
          <w:b/>
          <w:lang w:val="es-ES"/>
        </w:rPr>
        <w:t xml:space="preserve"> aquella que:</w:t>
      </w:r>
    </w:p>
    <w:p w:rsidR="005A0BB7" w:rsidRPr="005A0BB7" w:rsidRDefault="003E217C" w:rsidP="008271EA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BA0BB5">
        <w:rPr>
          <w:rFonts w:ascii="Times New Roman" w:hAnsi="Times New Roman"/>
          <w:sz w:val="24"/>
          <w:szCs w:val="24"/>
          <w:lang w:val="es-ES"/>
        </w:rPr>
        <w:t>Tenga 90 días o más, pero menos de diez (10) años, de haber sido tasada la deuda</w:t>
      </w:r>
      <w:r w:rsidR="005A0BB7">
        <w:rPr>
          <w:rFonts w:ascii="Times New Roman" w:hAnsi="Times New Roman"/>
          <w:sz w:val="24"/>
          <w:szCs w:val="24"/>
          <w:lang w:val="es-ES"/>
        </w:rPr>
        <w:t>.</w:t>
      </w:r>
    </w:p>
    <w:p w:rsidR="005A0BB7" w:rsidRPr="00BA0BB5" w:rsidRDefault="005A0BB7" w:rsidP="008271EA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lastRenderedPageBreak/>
        <w:t>Se excluye año corriente a la fecha de vencimiento de la planilla.</w:t>
      </w:r>
    </w:p>
    <w:p w:rsidR="003E217C" w:rsidRPr="00BA0BB5" w:rsidRDefault="003E217C" w:rsidP="003E217C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BA0BB5">
        <w:rPr>
          <w:rFonts w:ascii="Times New Roman" w:hAnsi="Times New Roman"/>
          <w:sz w:val="24"/>
          <w:szCs w:val="24"/>
          <w:lang w:val="es-ES"/>
        </w:rPr>
        <w:t>La deuda no está sujeta a un acuerdo de pago o no se han realizado pagos al plan en los últimos 90 días;</w:t>
      </w:r>
    </w:p>
    <w:p w:rsidR="003E217C" w:rsidRPr="00BA0BB5" w:rsidRDefault="003E217C" w:rsidP="003E217C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BA0BB5">
        <w:rPr>
          <w:rFonts w:ascii="Times New Roman" w:hAnsi="Times New Roman"/>
          <w:sz w:val="24"/>
          <w:szCs w:val="24"/>
          <w:lang w:val="es-ES"/>
        </w:rPr>
        <w:t>El Departamento no tiene conocimiento de que esté cobijada por la Ley de Quiebras</w:t>
      </w:r>
    </w:p>
    <w:p w:rsidR="003E217C" w:rsidRDefault="003E217C" w:rsidP="003E217C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BA0BB5">
        <w:rPr>
          <w:rFonts w:ascii="Times New Roman" w:hAnsi="Times New Roman"/>
          <w:sz w:val="24"/>
          <w:szCs w:val="24"/>
          <w:lang w:val="es-ES"/>
        </w:rPr>
        <w:t>No tiene pendiente un recurso de revisión ante la Secretaría de Apelaciones Administrativas del Departamento o ante el foro judicial.</w:t>
      </w:r>
    </w:p>
    <w:p w:rsidR="005A0BB7" w:rsidRDefault="005A0BB7" w:rsidP="003E217C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Debe tener intereses, recargos, multas y/o penalidades si aplican.</w:t>
      </w:r>
    </w:p>
    <w:tbl>
      <w:tblPr>
        <w:tblW w:w="10262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9454"/>
      </w:tblGrid>
      <w:tr w:rsidR="003E217C" w:rsidRPr="008271EA" w:rsidTr="003F5892">
        <w:trPr>
          <w:trHeight w:val="645"/>
        </w:trPr>
        <w:tc>
          <w:tcPr>
            <w:tcW w:w="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217C" w:rsidRPr="00E8314F" w:rsidRDefault="003E217C" w:rsidP="003F589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Theme="minorHAnsi" w:hAnsiTheme="minorHAnsi" w:cs="Arial"/>
                <w:noProof/>
                <w:color w:val="000000"/>
              </w:rPr>
              <w:drawing>
                <wp:inline distT="0" distB="0" distL="0" distR="0">
                  <wp:extent cx="298771" cy="265196"/>
                  <wp:effectExtent l="19050" t="0" r="6029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771" cy="265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4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217C" w:rsidRPr="002608D6" w:rsidRDefault="003E217C" w:rsidP="003F5892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Código, 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leyes a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3E217C" w:rsidRPr="00545103" w:rsidRDefault="00082AA5" w:rsidP="008271EA">
      <w:pPr>
        <w:pStyle w:val="ListParagraph"/>
        <w:numPr>
          <w:ilvl w:val="0"/>
          <w:numId w:val="4"/>
        </w:numPr>
        <w:shd w:val="clear" w:color="auto" w:fill="FFFFFF"/>
        <w:tabs>
          <w:tab w:val="left" w:pos="720"/>
        </w:tabs>
        <w:spacing w:before="120" w:after="0" w:line="240" w:lineRule="auto"/>
        <w:ind w:left="990" w:hanging="630"/>
        <w:rPr>
          <w:rFonts w:ascii="Times New Roman" w:hAnsi="Times New Roman"/>
          <w:color w:val="000000"/>
          <w:sz w:val="24"/>
          <w:lang w:val="es-PR"/>
        </w:rPr>
      </w:pPr>
      <w:hyperlink r:id="rId13" w:history="1">
        <w:r w:rsidR="003E217C" w:rsidRPr="00EA0287">
          <w:rPr>
            <w:rStyle w:val="Hyperlink"/>
            <w:rFonts w:ascii="Times New Roman" w:hAnsi="Times New Roman"/>
            <w:sz w:val="24"/>
            <w:szCs w:val="24"/>
            <w:lang w:val="es-PR"/>
          </w:rPr>
          <w:t>Código de Rentas Internas para un Nuevo Puerto Rico</w:t>
        </w:r>
      </w:hyperlink>
      <w:r w:rsidR="003E217C" w:rsidRPr="00EA0287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p w:rsidR="003E217C" w:rsidRPr="003C7712" w:rsidRDefault="003E217C" w:rsidP="008271EA">
      <w:pPr>
        <w:pStyle w:val="ListParagraph"/>
        <w:numPr>
          <w:ilvl w:val="0"/>
          <w:numId w:val="4"/>
        </w:numPr>
        <w:shd w:val="clear" w:color="auto" w:fill="FFFFFF"/>
        <w:spacing w:before="120" w:after="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Manual Técnicas de Cobro (Departamento de Hacienda)</w:t>
      </w:r>
    </w:p>
    <w:p w:rsidR="003E217C" w:rsidRPr="007875DE" w:rsidRDefault="003E217C" w:rsidP="008271EA">
      <w:pPr>
        <w:pStyle w:val="ListParagraph"/>
        <w:numPr>
          <w:ilvl w:val="0"/>
          <w:numId w:val="4"/>
        </w:numPr>
        <w:shd w:val="clear" w:color="auto" w:fill="FFFFFF"/>
        <w:spacing w:before="120" w:after="0" w:line="240" w:lineRule="auto"/>
        <w:ind w:left="720"/>
        <w:jc w:val="both"/>
        <w:rPr>
          <w:rFonts w:ascii="Times New Roman" w:hAnsi="Times New Roman"/>
          <w:color w:val="525252"/>
          <w:sz w:val="24"/>
          <w:szCs w:val="24"/>
          <w:lang w:val="es-ES"/>
        </w:rPr>
      </w:pPr>
      <w:r w:rsidRPr="00545103">
        <w:rPr>
          <w:rFonts w:ascii="Times New Roman" w:hAnsi="Times New Roman"/>
          <w:color w:val="000000"/>
          <w:sz w:val="24"/>
          <w:szCs w:val="24"/>
          <w:lang w:val="es-PR"/>
        </w:rPr>
        <w:t xml:space="preserve">Manual Instructivo PRITAS </w:t>
      </w:r>
      <w:r w:rsidRPr="00545103">
        <w:rPr>
          <w:rFonts w:ascii="Times New Roman" w:hAnsi="Times New Roman"/>
          <w:i/>
          <w:color w:val="000000"/>
          <w:sz w:val="24"/>
          <w:szCs w:val="24"/>
          <w:lang w:val="es-PR"/>
        </w:rPr>
        <w:t>Call Center</w:t>
      </w:r>
      <w:r>
        <w:rPr>
          <w:rFonts w:ascii="Times New Roman" w:hAnsi="Times New Roman"/>
          <w:i/>
          <w:color w:val="000000"/>
          <w:sz w:val="24"/>
          <w:szCs w:val="24"/>
          <w:lang w:val="es-PR"/>
        </w:rPr>
        <w:t xml:space="preserve"> </w:t>
      </w:r>
      <w:r w:rsidRPr="00545103">
        <w:rPr>
          <w:rFonts w:ascii="Times New Roman" w:hAnsi="Times New Roman"/>
          <w:color w:val="000000"/>
          <w:sz w:val="24"/>
          <w:szCs w:val="24"/>
          <w:lang w:val="es-PR"/>
        </w:rPr>
        <w:t>(Departamento de Hacienda)</w:t>
      </w:r>
    </w:p>
    <w:p w:rsidR="003E217C" w:rsidRDefault="003E217C" w:rsidP="003E217C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color w:val="525252"/>
          <w:sz w:val="24"/>
          <w:szCs w:val="24"/>
          <w:lang w:val="es-ES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217C" w:rsidRPr="008271EA" w:rsidTr="003F5892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217C" w:rsidRPr="00A625BF" w:rsidRDefault="003E217C" w:rsidP="003F5892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52425" cy="295275"/>
                  <wp:effectExtent l="19050" t="0" r="9525" b="0"/>
                  <wp:docPr id="8" name="Picture 1" descr="di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217C" w:rsidRPr="002608D6" w:rsidRDefault="003E217C" w:rsidP="003F5892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 métodos de p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3E217C" w:rsidRDefault="003E217C" w:rsidP="008271EA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Efectivo</w:t>
      </w:r>
    </w:p>
    <w:p w:rsidR="003E217C" w:rsidRDefault="003E217C" w:rsidP="008271EA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ATH</w:t>
      </w:r>
    </w:p>
    <w:p w:rsidR="005A0BB7" w:rsidRDefault="005A0BB7" w:rsidP="008271EA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Tarjetas de Crédito</w:t>
      </w:r>
    </w:p>
    <w:p w:rsidR="003E217C" w:rsidRDefault="003E217C" w:rsidP="008271EA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Cheque certificado (el cheque debe hacerse a nombre del Secretario de Hacienda).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217C" w:rsidRPr="008271EA" w:rsidTr="003F5892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217C" w:rsidRPr="00A625BF" w:rsidRDefault="003E217C" w:rsidP="003F5892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52425" cy="342900"/>
                  <wp:effectExtent l="19050" t="0" r="9525" b="0"/>
                  <wp:docPr id="6" name="Picture 2" descr="reloj y ma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oj y ma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3E217C" w:rsidRPr="002608D6" w:rsidRDefault="003E217C" w:rsidP="003F5892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 de s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3E217C" w:rsidRPr="00545103" w:rsidRDefault="003E217C" w:rsidP="008271EA">
      <w:pPr>
        <w:pStyle w:val="rteindent1"/>
        <w:numPr>
          <w:ilvl w:val="0"/>
          <w:numId w:val="26"/>
        </w:numPr>
        <w:spacing w:before="120" w:after="0" w:line="48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Haci</w:t>
      </w:r>
      <w:r w:rsidR="008271EA">
        <w:rPr>
          <w:rFonts w:ascii="Times New Roman" w:hAnsi="Times New Roman"/>
          <w:sz w:val="24"/>
          <w:szCs w:val="24"/>
          <w:lang w:val="es-ES"/>
        </w:rPr>
        <w:t>enda Responde “Sistema de Servicio y Atención al Contribuyente”</w:t>
      </w:r>
    </w:p>
    <w:p w:rsidR="003E217C" w:rsidRPr="004437E3" w:rsidRDefault="003E217C" w:rsidP="008271EA">
      <w:pPr>
        <w:pStyle w:val="ListParagraph"/>
        <w:numPr>
          <w:ilvl w:val="0"/>
          <w:numId w:val="21"/>
        </w:numPr>
        <w:shd w:val="clear" w:color="auto" w:fill="FFFFFF"/>
        <w:spacing w:before="120" w:after="120" w:line="48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Horario: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 xml:space="preserve">Lunes a Viernes de </w:t>
      </w:r>
      <w:r w:rsidRPr="004437E3">
        <w:rPr>
          <w:rFonts w:ascii="Times New Roman" w:hAnsi="Times New Roman"/>
          <w:color w:val="000000"/>
          <w:sz w:val="24"/>
          <w:lang w:val="es-PR"/>
        </w:rPr>
        <w:t>8:00 am-4:30 pm</w:t>
      </w:r>
    </w:p>
    <w:p w:rsidR="003E217C" w:rsidRPr="004437E3" w:rsidRDefault="003E217C" w:rsidP="008271EA">
      <w:pPr>
        <w:pStyle w:val="ListParagraph"/>
        <w:numPr>
          <w:ilvl w:val="0"/>
          <w:numId w:val="21"/>
        </w:numPr>
        <w:shd w:val="clear" w:color="auto" w:fill="FFFFFF"/>
        <w:spacing w:before="120" w:after="120" w:line="480" w:lineRule="auto"/>
        <w:rPr>
          <w:rFonts w:ascii="Times New Roman" w:hAnsi="Times New Roman"/>
          <w:color w:val="000000"/>
          <w:sz w:val="24"/>
          <w:lang w:val="es-PR"/>
        </w:rPr>
      </w:pPr>
      <w:r w:rsidRPr="004437E3">
        <w:rPr>
          <w:rFonts w:ascii="Times New Roman" w:hAnsi="Times New Roman"/>
          <w:b/>
          <w:color w:val="000000"/>
          <w:sz w:val="24"/>
          <w:lang w:val="es-PR"/>
        </w:rPr>
        <w:t>Teléfono:</w:t>
      </w:r>
      <w:r w:rsidRPr="004437E3">
        <w:rPr>
          <w:rFonts w:ascii="Times New Roman" w:hAnsi="Times New Roman"/>
          <w:color w:val="000000"/>
          <w:sz w:val="24"/>
          <w:lang w:val="es-PR"/>
        </w:rPr>
        <w:t xml:space="preserve"> </w:t>
      </w:r>
      <w:r w:rsidRPr="004437E3">
        <w:rPr>
          <w:rFonts w:ascii="Times New Roman" w:hAnsi="Times New Roman"/>
          <w:color w:val="000000"/>
          <w:sz w:val="24"/>
          <w:lang w:val="es-PR"/>
        </w:rPr>
        <w:tab/>
        <w:t xml:space="preserve">(787) 620-2323 </w:t>
      </w:r>
      <w:r>
        <w:rPr>
          <w:rFonts w:ascii="Times New Roman" w:hAnsi="Times New Roman"/>
          <w:color w:val="000000"/>
          <w:sz w:val="24"/>
          <w:lang w:val="es-PR"/>
        </w:rPr>
        <w:t xml:space="preserve">/ </w:t>
      </w:r>
      <w:r w:rsidRPr="004437E3">
        <w:rPr>
          <w:rFonts w:ascii="Times New Roman" w:hAnsi="Times New Roman"/>
          <w:color w:val="000000"/>
          <w:sz w:val="24"/>
          <w:lang w:val="es-PR"/>
        </w:rPr>
        <w:t>(787) 721-2020 / (787) 7222-0216</w:t>
      </w:r>
    </w:p>
    <w:p w:rsidR="003E217C" w:rsidRPr="004437E3" w:rsidRDefault="003E217C" w:rsidP="008271EA">
      <w:pPr>
        <w:pStyle w:val="ListParagraph"/>
        <w:numPr>
          <w:ilvl w:val="0"/>
          <w:numId w:val="21"/>
        </w:numPr>
        <w:shd w:val="clear" w:color="auto" w:fill="FFFFFF"/>
        <w:spacing w:before="120" w:after="120" w:line="480" w:lineRule="auto"/>
        <w:rPr>
          <w:rFonts w:ascii="Times New Roman" w:hAnsi="Times New Roman"/>
          <w:color w:val="000000"/>
          <w:sz w:val="24"/>
          <w:lang w:val="es-PR"/>
        </w:rPr>
      </w:pPr>
      <w:r w:rsidRPr="004437E3">
        <w:rPr>
          <w:rFonts w:ascii="Times New Roman" w:hAnsi="Times New Roman"/>
          <w:b/>
          <w:color w:val="000000"/>
          <w:sz w:val="24"/>
          <w:lang w:val="es-PR"/>
        </w:rPr>
        <w:t>Fax:</w:t>
      </w:r>
      <w:r w:rsidRPr="004437E3">
        <w:rPr>
          <w:rFonts w:ascii="Times New Roman" w:hAnsi="Times New Roman"/>
          <w:color w:val="000000"/>
          <w:sz w:val="24"/>
          <w:lang w:val="es-PR"/>
        </w:rPr>
        <w:t xml:space="preserve"> </w:t>
      </w:r>
      <w:r w:rsidRPr="004437E3">
        <w:rPr>
          <w:rFonts w:ascii="Times New Roman" w:hAnsi="Times New Roman"/>
          <w:color w:val="000000"/>
          <w:sz w:val="24"/>
          <w:lang w:val="es-PR"/>
        </w:rPr>
        <w:tab/>
      </w:r>
      <w:r w:rsidR="008271EA">
        <w:rPr>
          <w:rFonts w:ascii="Times New Roman" w:hAnsi="Times New Roman"/>
          <w:color w:val="000000"/>
          <w:sz w:val="24"/>
          <w:lang w:val="es-PR"/>
        </w:rPr>
        <w:t xml:space="preserve">            </w:t>
      </w:r>
      <w:r w:rsidRPr="004437E3">
        <w:rPr>
          <w:rFonts w:ascii="Times New Roman" w:hAnsi="Times New Roman"/>
          <w:color w:val="000000"/>
          <w:sz w:val="24"/>
          <w:lang w:val="es-PR"/>
        </w:rPr>
        <w:t>(787) 200-7599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9454"/>
      </w:tblGrid>
      <w:tr w:rsidR="003E217C" w:rsidRPr="00DE7488" w:rsidTr="003F5892">
        <w:trPr>
          <w:trHeight w:val="517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217C" w:rsidRPr="00A625BF" w:rsidRDefault="003E217C" w:rsidP="003F5892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1B0BD6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81000" cy="247650"/>
                  <wp:effectExtent l="19050" t="0" r="0" b="0"/>
                  <wp:docPr id="3" name="Picture 3" descr="enl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nl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3E217C" w:rsidRPr="002608D6" w:rsidRDefault="003E217C" w:rsidP="003F5892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elacionados</w:t>
            </w:r>
          </w:p>
        </w:tc>
      </w:tr>
    </w:tbl>
    <w:bookmarkStart w:id="0" w:name="_GoBack"/>
    <w:bookmarkEnd w:id="0"/>
    <w:p w:rsidR="003E217C" w:rsidRPr="004437E3" w:rsidRDefault="00082AA5" w:rsidP="008271EA">
      <w:pPr>
        <w:pStyle w:val="ListParagraph"/>
        <w:numPr>
          <w:ilvl w:val="0"/>
          <w:numId w:val="3"/>
        </w:numPr>
        <w:tabs>
          <w:tab w:val="left" w:pos="720"/>
        </w:tabs>
        <w:spacing w:before="120" w:after="120" w:line="240" w:lineRule="auto"/>
        <w:ind w:left="900" w:hanging="540"/>
        <w:jc w:val="both"/>
        <w:rPr>
          <w:rFonts w:ascii="Times New Roman" w:hAnsi="Times New Roman"/>
          <w:sz w:val="24"/>
          <w:szCs w:val="24"/>
          <w:lang w:val="es-PR"/>
        </w:rPr>
      </w:pPr>
      <w:r>
        <w:fldChar w:fldCharType="begin"/>
      </w:r>
      <w:r>
        <w:instrText xml:space="preserve"> HYPERLINK "http://www.hacienda.pr.gov/" </w:instrText>
      </w:r>
      <w:r>
        <w:fldChar w:fldCharType="separate"/>
      </w:r>
      <w:r w:rsidR="003E217C" w:rsidRPr="004437E3">
        <w:rPr>
          <w:rStyle w:val="Hyperlink"/>
          <w:rFonts w:ascii="Times New Roman" w:hAnsi="Times New Roman"/>
          <w:sz w:val="24"/>
          <w:szCs w:val="24"/>
          <w:lang w:val="es-PR"/>
        </w:rPr>
        <w:t>Portal del Departamento de Hacienda</w:t>
      </w:r>
      <w:r>
        <w:rPr>
          <w:rStyle w:val="Hyperlink"/>
          <w:rFonts w:ascii="Times New Roman" w:hAnsi="Times New Roman"/>
          <w:sz w:val="24"/>
          <w:szCs w:val="24"/>
          <w:lang w:val="es-PR"/>
        </w:rPr>
        <w:fldChar w:fldCharType="end"/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217C" w:rsidRPr="00DE7488" w:rsidTr="003F5892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217C" w:rsidRPr="00A625BF" w:rsidRDefault="003E217C" w:rsidP="003F5892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71475" cy="371475"/>
                  <wp:effectExtent l="19050" t="0" r="9525" b="0"/>
                  <wp:docPr id="9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3E217C" w:rsidRPr="00F84D63" w:rsidRDefault="003E217C" w:rsidP="003F5892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</w:t>
            </w:r>
            <w:r w:rsidRP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recuentes</w:t>
            </w:r>
          </w:p>
        </w:tc>
      </w:tr>
    </w:tbl>
    <w:p w:rsidR="003E217C" w:rsidRDefault="0007380E" w:rsidP="009B744E">
      <w:pPr>
        <w:pStyle w:val="NormalWeb"/>
        <w:numPr>
          <w:ilvl w:val="0"/>
          <w:numId w:val="22"/>
        </w:numPr>
        <w:tabs>
          <w:tab w:val="left" w:pos="900"/>
        </w:tabs>
        <w:spacing w:before="120" w:after="120"/>
        <w:rPr>
          <w:b/>
          <w:lang w:val="es-ES"/>
        </w:rPr>
      </w:pPr>
      <w:r>
        <w:rPr>
          <w:b/>
          <w:lang w:val="es-ES"/>
        </w:rPr>
        <w:t xml:space="preserve">¿Por qué embargaron la cuenta?  </w:t>
      </w:r>
      <w:r w:rsidRPr="0007380E">
        <w:rPr>
          <w:lang w:val="es-ES"/>
        </w:rPr>
        <w:t>Porque existe deuda</w:t>
      </w:r>
      <w:r>
        <w:rPr>
          <w:lang w:val="es-ES"/>
        </w:rPr>
        <w:t xml:space="preserve"> con más de 90 días de atraso.</w:t>
      </w:r>
    </w:p>
    <w:p w:rsidR="0007380E" w:rsidRPr="0007380E" w:rsidRDefault="0007380E" w:rsidP="009B744E">
      <w:pPr>
        <w:pStyle w:val="NormalWeb"/>
        <w:numPr>
          <w:ilvl w:val="0"/>
          <w:numId w:val="22"/>
        </w:numPr>
        <w:tabs>
          <w:tab w:val="left" w:pos="900"/>
        </w:tabs>
        <w:spacing w:before="120" w:after="120"/>
        <w:rPr>
          <w:lang w:val="es-ES"/>
        </w:rPr>
      </w:pPr>
      <w:r>
        <w:rPr>
          <w:b/>
          <w:lang w:val="es-ES"/>
        </w:rPr>
        <w:lastRenderedPageBreak/>
        <w:t xml:space="preserve">¿Enmendé la planilla, que debo someter como evidencia? </w:t>
      </w:r>
      <w:r w:rsidRPr="0007380E">
        <w:rPr>
          <w:lang w:val="es-ES"/>
        </w:rPr>
        <w:t xml:space="preserve">Debe enviar carta explicativa con la razón por la cual enmendó la planilla y copia de la primera pagina de la planilla ponchada por el Departamento de Hacienda. </w:t>
      </w:r>
    </w:p>
    <w:p w:rsidR="00CB0120" w:rsidRPr="003E217C" w:rsidRDefault="00CB0120">
      <w:pPr>
        <w:rPr>
          <w:lang w:val="es-ES"/>
        </w:rPr>
      </w:pPr>
    </w:p>
    <w:sectPr w:rsidR="00CB0120" w:rsidRPr="003E217C" w:rsidSect="003E217C">
      <w:headerReference w:type="default" r:id="rId18"/>
      <w:footerReference w:type="default" r:id="rId19"/>
      <w:pgSz w:w="12240" w:h="15840"/>
      <w:pgMar w:top="1440" w:right="1440" w:bottom="1440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F2E" w:rsidRDefault="00951F2E" w:rsidP="003E217C">
      <w:pPr>
        <w:spacing w:after="0" w:line="240" w:lineRule="auto"/>
      </w:pPr>
      <w:r>
        <w:separator/>
      </w:r>
    </w:p>
  </w:endnote>
  <w:endnote w:type="continuationSeparator" w:id="0">
    <w:p w:rsidR="00951F2E" w:rsidRDefault="00951F2E" w:rsidP="003E2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776"/>
      <w:gridCol w:w="7800"/>
    </w:tblGrid>
    <w:tr w:rsidR="003E217C" w:rsidRPr="008271EA" w:rsidTr="003F5892">
      <w:tc>
        <w:tcPr>
          <w:tcW w:w="918" w:type="dxa"/>
        </w:tcPr>
        <w:p w:rsidR="003E217C" w:rsidRDefault="003E217C" w:rsidP="003F5892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 w:rsidRPr="008F04DB">
            <w:rPr>
              <w:noProof/>
            </w:rPr>
            <w:drawing>
              <wp:inline distT="0" distB="0" distL="0" distR="0" wp14:anchorId="3BBEED20" wp14:editId="269BC61C">
                <wp:extent cx="971550" cy="619125"/>
                <wp:effectExtent l="19050" t="0" r="0" b="0"/>
                <wp:docPr id="5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920" cy="62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50511" w:rsidRPr="008271EA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8271EA">
            <w:rPr>
              <w:rFonts w:ascii="Times New Roman" w:hAnsi="Times New Roman"/>
              <w:sz w:val="24"/>
              <w:szCs w:val="24"/>
            </w:rPr>
            <w:instrText xml:space="preserve"> PAGE   \* MERGEFORMAT </w:instrText>
          </w:r>
          <w:r w:rsidR="00A50511" w:rsidRPr="008271EA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82AA5" w:rsidRPr="00082AA5">
            <w:rPr>
              <w:rFonts w:ascii="Times New Roman" w:hAnsi="Times New Roman"/>
              <w:b/>
              <w:noProof/>
              <w:sz w:val="24"/>
              <w:szCs w:val="24"/>
            </w:rPr>
            <w:t>1</w:t>
          </w:r>
          <w:r w:rsidR="00A50511" w:rsidRPr="008271EA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7938" w:type="dxa"/>
        </w:tcPr>
        <w:p w:rsidR="003E217C" w:rsidRDefault="003E217C" w:rsidP="003F5892">
          <w:pPr>
            <w:pStyle w:val="Footer"/>
            <w:rPr>
              <w:rFonts w:ascii="Times New Roman" w:hAnsi="Times New Roman"/>
              <w:lang w:val="es-PR"/>
            </w:rPr>
          </w:pPr>
        </w:p>
        <w:p w:rsidR="003E217C" w:rsidRPr="00BD789E" w:rsidRDefault="003E217C" w:rsidP="008271EA">
          <w:pPr>
            <w:pStyle w:val="Footer"/>
            <w:jc w:val="center"/>
            <w:rPr>
              <w:rFonts w:ascii="Times New Roman" w:hAnsi="Times New Roman"/>
              <w:sz w:val="24"/>
              <w:szCs w:val="24"/>
              <w:lang w:val="es-PR"/>
            </w:rPr>
          </w:pPr>
          <w:r w:rsidRPr="00BD789E"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:rsidR="003E217C" w:rsidRDefault="003E217C" w:rsidP="008271EA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3E217C" w:rsidRPr="008F04DB" w:rsidRDefault="003E217C" w:rsidP="008271EA">
          <w:pPr>
            <w:pStyle w:val="Footer"/>
            <w:jc w:val="center"/>
            <w:rPr>
              <w:lang w:val="es-PR"/>
            </w:rPr>
          </w:pPr>
          <w:r w:rsidRPr="00F1377B">
            <w:rPr>
              <w:rFonts w:ascii="Times New Roman" w:hAnsi="Times New Roman"/>
              <w:sz w:val="16"/>
              <w:szCs w:val="16"/>
              <w:lang w:val="es-PR"/>
            </w:rPr>
            <w:t>Este documento es</w:t>
          </w:r>
          <w:r>
            <w:rPr>
              <w:rFonts w:ascii="Times New Roman" w:hAnsi="Times New Roman"/>
              <w:sz w:val="16"/>
              <w:szCs w:val="16"/>
              <w:lang w:val="es-PR"/>
            </w:rPr>
            <w:t xml:space="preserve"> sólo de carácter informativo.  </w:t>
          </w:r>
          <w:r w:rsidRPr="00F1377B">
            <w:rPr>
              <w:rFonts w:ascii="Times New Roman" w:hAnsi="Times New Roman"/>
              <w:sz w:val="16"/>
              <w:szCs w:val="16"/>
              <w:lang w:val="es-PR"/>
            </w:rPr>
            <w:t>La comunicación provista puede estar sujeta a cambios y no sustituye ninguna legislación, jurisprudencia, orden ejecutiva, reglamentos y/o normas aplicables a la agencia de gobierno.</w:t>
          </w:r>
        </w:p>
      </w:tc>
    </w:tr>
  </w:tbl>
  <w:p w:rsidR="003E217C" w:rsidRPr="003E217C" w:rsidRDefault="003E217C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F2E" w:rsidRDefault="00951F2E" w:rsidP="003E217C">
      <w:pPr>
        <w:spacing w:after="0" w:line="240" w:lineRule="auto"/>
      </w:pPr>
      <w:r>
        <w:separator/>
      </w:r>
    </w:p>
  </w:footnote>
  <w:footnote w:type="continuationSeparator" w:id="0">
    <w:p w:rsidR="00951F2E" w:rsidRDefault="00951F2E" w:rsidP="003E2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3E217C" w:rsidRPr="008271EA" w:rsidTr="003F5892">
      <w:trPr>
        <w:trHeight w:val="288"/>
      </w:trPr>
      <w:tc>
        <w:tcPr>
          <w:tcW w:w="8395" w:type="dxa"/>
        </w:tcPr>
        <w:p w:rsidR="008271EA" w:rsidRDefault="003E217C" w:rsidP="00780FF9">
          <w:pPr>
            <w:tabs>
              <w:tab w:val="center" w:pos="4127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3E217C" w:rsidRDefault="008271EA" w:rsidP="00780FF9">
          <w:pPr>
            <w:tabs>
              <w:tab w:val="center" w:pos="4127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  <w:r w:rsidR="00780FF9">
            <w:rPr>
              <w:rFonts w:ascii="Times New Roman" w:hAnsi="Times New Roman"/>
              <w:sz w:val="32"/>
              <w:szCs w:val="32"/>
              <w:lang w:val="es-PR"/>
            </w:rPr>
            <w:tab/>
          </w:r>
        </w:p>
        <w:p w:rsidR="003E217C" w:rsidRDefault="003E217C" w:rsidP="003F5892">
          <w:pPr>
            <w:tabs>
              <w:tab w:val="left" w:pos="4680"/>
            </w:tabs>
            <w:spacing w:after="0" w:line="240" w:lineRule="auto"/>
            <w:ind w:right="-90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Negociado de Recaudaciones</w:t>
          </w:r>
        </w:p>
        <w:p w:rsidR="003E217C" w:rsidRPr="004C743D" w:rsidRDefault="003E217C" w:rsidP="00673C37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b/>
              <w:sz w:val="28"/>
              <w:szCs w:val="28"/>
              <w:lang w:val="es-PR"/>
            </w:rPr>
            <w:t xml:space="preserve">Embargos </w:t>
          </w:r>
          <w:r w:rsidR="008E5E1C">
            <w:rPr>
              <w:rFonts w:ascii="Times New Roman" w:hAnsi="Times New Roman"/>
              <w:b/>
              <w:sz w:val="28"/>
              <w:szCs w:val="28"/>
              <w:lang w:val="es-PR"/>
            </w:rPr>
            <w:t>Electrónico</w:t>
          </w:r>
          <w:r w:rsidR="004029B9">
            <w:rPr>
              <w:rFonts w:ascii="Times New Roman" w:hAnsi="Times New Roman"/>
              <w:b/>
              <w:sz w:val="28"/>
              <w:szCs w:val="28"/>
              <w:lang w:val="es-PR"/>
            </w:rPr>
            <w:t>s</w:t>
          </w:r>
          <w:r w:rsidR="008E5E1C">
            <w:rPr>
              <w:rFonts w:ascii="Times New Roman" w:hAnsi="Times New Roman"/>
              <w:b/>
              <w:sz w:val="28"/>
              <w:szCs w:val="28"/>
              <w:lang w:val="es-PR"/>
            </w:rPr>
            <w:t xml:space="preserve"> </w:t>
          </w:r>
        </w:p>
      </w:tc>
      <w:tc>
        <w:tcPr>
          <w:tcW w:w="1195" w:type="dxa"/>
        </w:tcPr>
        <w:p w:rsidR="003E217C" w:rsidRPr="00D049E5" w:rsidRDefault="00FF512A" w:rsidP="003F5892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>
            <w:rPr>
              <w:rFonts w:ascii="Times New Roman" w:hAnsi="Times New Roman"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BF415D4" wp14:editId="0DF66699">
                    <wp:simplePos x="0" y="0"/>
                    <wp:positionH relativeFrom="column">
                      <wp:posOffset>-34925</wp:posOffset>
                    </wp:positionH>
                    <wp:positionV relativeFrom="paragraph">
                      <wp:posOffset>502921</wp:posOffset>
                    </wp:positionV>
                    <wp:extent cx="1114425" cy="361950"/>
                    <wp:effectExtent l="0" t="0" r="28575" b="1905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14425" cy="361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E217C" w:rsidRPr="00446DFA" w:rsidRDefault="003E217C" w:rsidP="008271E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  <w:lang w:val="es-PR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  <w:lang w:val="es-PR"/>
                                  </w:rPr>
                                  <w:t>NREC-</w:t>
                                </w:r>
                                <w:r w:rsidR="008271EA"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  <w:lang w:val="es-PR"/>
                                  </w:rPr>
                                  <w:t>008</w:t>
                                </w:r>
                              </w:p>
                              <w:p w:rsidR="003E217C" w:rsidRPr="002608D6" w:rsidRDefault="003E217C" w:rsidP="003E217C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  <w:lang w:val="es-PR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  <w:lang w:val="es-PR"/>
                                  </w:rPr>
                                  <w:t>Vigencia: 2</w:t>
                                </w:r>
                                <w:r w:rsidR="008271EA"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  <w:lang w:val="es-PR"/>
                                  </w:rPr>
                                  <w:t>5</w:t>
                                </w:r>
                                <w:r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  <w:lang w:val="es-PR"/>
                                  </w:rPr>
                                  <w:t>-sep</w:t>
                                </w:r>
                                <w:r w:rsidRPr="00446DFA"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  <w:lang w:val="es-PR"/>
                                  </w:rPr>
                                  <w:t>-15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-2.75pt;margin-top:39.6pt;width:87.7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">
                    <v:textbox>
                      <w:txbxContent>
                        <w:p w:rsidR="003E217C" w:rsidRPr="00446DFA" w:rsidRDefault="003E217C" w:rsidP="008271E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PR"/>
                            </w:rPr>
                            <w:t>NREC-</w:t>
                          </w:r>
                          <w:r w:rsidR="008271EA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PR"/>
                            </w:rPr>
                            <w:t>008</w:t>
                          </w:r>
                        </w:p>
                        <w:p w:rsidR="003E217C" w:rsidRPr="002608D6" w:rsidRDefault="003E217C" w:rsidP="003E217C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PR"/>
                            </w:rPr>
                            <w:t>Vigencia: 2</w:t>
                          </w:r>
                          <w:r w:rsidR="008271EA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PR"/>
                            </w:rPr>
                            <w:t>5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PR"/>
                            </w:rPr>
                            <w:t>-sep</w:t>
                          </w:r>
                          <w:r w:rsidRPr="00446DFA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PR"/>
                            </w:rPr>
                            <w:t>-15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3E217C" w:rsidRPr="00E80E85" w:rsidRDefault="003E217C" w:rsidP="003E217C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BA2"/>
    <w:multiLevelType w:val="hybridMultilevel"/>
    <w:tmpl w:val="F060138E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2576C47"/>
    <w:multiLevelType w:val="hybridMultilevel"/>
    <w:tmpl w:val="5D5E73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D5794C"/>
    <w:multiLevelType w:val="hybridMultilevel"/>
    <w:tmpl w:val="FD8683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C0AC3"/>
    <w:multiLevelType w:val="hybridMultilevel"/>
    <w:tmpl w:val="35462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B22DA"/>
    <w:multiLevelType w:val="hybridMultilevel"/>
    <w:tmpl w:val="65201428"/>
    <w:lvl w:ilvl="0" w:tplc="A1B67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42B4E"/>
    <w:multiLevelType w:val="hybridMultilevel"/>
    <w:tmpl w:val="ABA44C26"/>
    <w:lvl w:ilvl="0" w:tplc="BB8698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8A46AE"/>
    <w:multiLevelType w:val="hybridMultilevel"/>
    <w:tmpl w:val="36B2CC98"/>
    <w:lvl w:ilvl="0" w:tplc="A1B67036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1AFB5309"/>
    <w:multiLevelType w:val="hybridMultilevel"/>
    <w:tmpl w:val="F7BA305E"/>
    <w:lvl w:ilvl="0" w:tplc="07409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5F4470"/>
    <w:multiLevelType w:val="hybridMultilevel"/>
    <w:tmpl w:val="848454D6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22414466"/>
    <w:multiLevelType w:val="hybridMultilevel"/>
    <w:tmpl w:val="6CD20F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7F7FF2"/>
    <w:multiLevelType w:val="hybridMultilevel"/>
    <w:tmpl w:val="716EF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E7C74"/>
    <w:multiLevelType w:val="hybridMultilevel"/>
    <w:tmpl w:val="60DC61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912049"/>
    <w:multiLevelType w:val="hybridMultilevel"/>
    <w:tmpl w:val="DB4C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6578B1"/>
    <w:multiLevelType w:val="hybridMultilevel"/>
    <w:tmpl w:val="DFD805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8152FDC"/>
    <w:multiLevelType w:val="hybridMultilevel"/>
    <w:tmpl w:val="8870B5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0C23D6"/>
    <w:multiLevelType w:val="hybridMultilevel"/>
    <w:tmpl w:val="2F7C2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B971B0"/>
    <w:multiLevelType w:val="hybridMultilevel"/>
    <w:tmpl w:val="5778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E06A52"/>
    <w:multiLevelType w:val="hybridMultilevel"/>
    <w:tmpl w:val="52808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B8085D"/>
    <w:multiLevelType w:val="hybridMultilevel"/>
    <w:tmpl w:val="F648E2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383870"/>
    <w:multiLevelType w:val="hybridMultilevel"/>
    <w:tmpl w:val="4B98572E"/>
    <w:lvl w:ilvl="0" w:tplc="0AD86E6C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289671C2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  <w:lang w:val="es-ES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>
    <w:nsid w:val="535078B4"/>
    <w:multiLevelType w:val="hybridMultilevel"/>
    <w:tmpl w:val="A3C40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971754"/>
    <w:multiLevelType w:val="hybridMultilevel"/>
    <w:tmpl w:val="C5F28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1F055A"/>
    <w:multiLevelType w:val="hybridMultilevel"/>
    <w:tmpl w:val="FA5C3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8C0076"/>
    <w:multiLevelType w:val="hybridMultilevel"/>
    <w:tmpl w:val="34BED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DA252F"/>
    <w:multiLevelType w:val="hybridMultilevel"/>
    <w:tmpl w:val="D9F294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8A5246F"/>
    <w:multiLevelType w:val="multilevel"/>
    <w:tmpl w:val="D3C0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5"/>
  </w:num>
  <w:num w:numId="3">
    <w:abstractNumId w:val="4"/>
  </w:num>
  <w:num w:numId="4">
    <w:abstractNumId w:val="19"/>
  </w:num>
  <w:num w:numId="5">
    <w:abstractNumId w:val="6"/>
  </w:num>
  <w:num w:numId="6">
    <w:abstractNumId w:val="25"/>
  </w:num>
  <w:num w:numId="7">
    <w:abstractNumId w:val="3"/>
  </w:num>
  <w:num w:numId="8">
    <w:abstractNumId w:val="9"/>
  </w:num>
  <w:num w:numId="9">
    <w:abstractNumId w:val="14"/>
  </w:num>
  <w:num w:numId="10">
    <w:abstractNumId w:val="0"/>
  </w:num>
  <w:num w:numId="11">
    <w:abstractNumId w:val="24"/>
  </w:num>
  <w:num w:numId="12">
    <w:abstractNumId w:val="1"/>
  </w:num>
  <w:num w:numId="13">
    <w:abstractNumId w:val="18"/>
  </w:num>
  <w:num w:numId="14">
    <w:abstractNumId w:val="15"/>
  </w:num>
  <w:num w:numId="15">
    <w:abstractNumId w:val="8"/>
  </w:num>
  <w:num w:numId="16">
    <w:abstractNumId w:val="2"/>
  </w:num>
  <w:num w:numId="17">
    <w:abstractNumId w:val="17"/>
  </w:num>
  <w:num w:numId="18">
    <w:abstractNumId w:val="13"/>
  </w:num>
  <w:num w:numId="19">
    <w:abstractNumId w:val="12"/>
  </w:num>
  <w:num w:numId="20">
    <w:abstractNumId w:val="7"/>
  </w:num>
  <w:num w:numId="21">
    <w:abstractNumId w:val="21"/>
  </w:num>
  <w:num w:numId="22">
    <w:abstractNumId w:val="22"/>
  </w:num>
  <w:num w:numId="23">
    <w:abstractNumId w:val="10"/>
  </w:num>
  <w:num w:numId="24">
    <w:abstractNumId w:val="11"/>
  </w:num>
  <w:num w:numId="25">
    <w:abstractNumId w:val="16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47"/>
    <w:rsid w:val="00007E13"/>
    <w:rsid w:val="000171C1"/>
    <w:rsid w:val="00024DE7"/>
    <w:rsid w:val="0007380E"/>
    <w:rsid w:val="00082AA5"/>
    <w:rsid w:val="000B3CFC"/>
    <w:rsid w:val="000F2F12"/>
    <w:rsid w:val="00173FEA"/>
    <w:rsid w:val="002651C9"/>
    <w:rsid w:val="00280584"/>
    <w:rsid w:val="00297588"/>
    <w:rsid w:val="003434C7"/>
    <w:rsid w:val="00362DA7"/>
    <w:rsid w:val="003707D7"/>
    <w:rsid w:val="003E217C"/>
    <w:rsid w:val="004029B9"/>
    <w:rsid w:val="004A0999"/>
    <w:rsid w:val="004F1547"/>
    <w:rsid w:val="005429C8"/>
    <w:rsid w:val="0055155C"/>
    <w:rsid w:val="005A0BB7"/>
    <w:rsid w:val="005D4810"/>
    <w:rsid w:val="006215B3"/>
    <w:rsid w:val="0067299A"/>
    <w:rsid w:val="00673C37"/>
    <w:rsid w:val="006C682D"/>
    <w:rsid w:val="006F4F4C"/>
    <w:rsid w:val="007027EE"/>
    <w:rsid w:val="00780FF9"/>
    <w:rsid w:val="007F5637"/>
    <w:rsid w:val="008271EA"/>
    <w:rsid w:val="008D4BA4"/>
    <w:rsid w:val="008E5E1C"/>
    <w:rsid w:val="00951F2E"/>
    <w:rsid w:val="00960C5D"/>
    <w:rsid w:val="00970C2C"/>
    <w:rsid w:val="009B744E"/>
    <w:rsid w:val="00A32D07"/>
    <w:rsid w:val="00A50511"/>
    <w:rsid w:val="00AD1692"/>
    <w:rsid w:val="00B2483A"/>
    <w:rsid w:val="00B84691"/>
    <w:rsid w:val="00C544C0"/>
    <w:rsid w:val="00CB0120"/>
    <w:rsid w:val="00CF7A95"/>
    <w:rsid w:val="00FF0296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17C"/>
    <w:pPr>
      <w:spacing w:before="0" w:beforeAutospacing="0" w:after="200" w:afterAutospacing="0" w:line="276" w:lineRule="auto"/>
      <w:jc w:val="left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3E217C"/>
    <w:pPr>
      <w:spacing w:before="300" w:after="150" w:line="240" w:lineRule="auto"/>
      <w:outlineLvl w:val="0"/>
    </w:pPr>
    <w:rPr>
      <w:rFonts w:ascii="Helvetica" w:eastAsia="Times New Roman" w:hAnsi="Helvetica" w:cs="Helvetica"/>
      <w:b/>
      <w:bCs/>
      <w:kern w:val="36"/>
      <w:sz w:val="39"/>
      <w:szCs w:val="39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21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17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E2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17C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E217C"/>
    <w:rPr>
      <w:rFonts w:ascii="Helvetica" w:eastAsia="Times New Roman" w:hAnsi="Helvetica" w:cs="Helvetica"/>
      <w:b/>
      <w:bCs/>
      <w:kern w:val="36"/>
      <w:sz w:val="39"/>
      <w:szCs w:val="39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2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3E21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21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17C"/>
    <w:rPr>
      <w:color w:val="0000FF" w:themeColor="hyperlink"/>
      <w:u w:val="single"/>
    </w:rPr>
  </w:style>
  <w:style w:type="paragraph" w:customStyle="1" w:styleId="rteindent1">
    <w:name w:val="rteindent1"/>
    <w:basedOn w:val="Normal"/>
    <w:rsid w:val="003E217C"/>
    <w:pPr>
      <w:spacing w:after="150" w:line="315" w:lineRule="atLeast"/>
      <w:ind w:left="600"/>
    </w:pPr>
    <w:rPr>
      <w:rFonts w:ascii="Open Sans" w:eastAsia="Times New Roman" w:hAnsi="Open Sans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17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17C"/>
    <w:pPr>
      <w:spacing w:before="0" w:beforeAutospacing="0" w:after="200" w:afterAutospacing="0" w:line="276" w:lineRule="auto"/>
      <w:jc w:val="left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3E217C"/>
    <w:pPr>
      <w:spacing w:before="300" w:after="150" w:line="240" w:lineRule="auto"/>
      <w:outlineLvl w:val="0"/>
    </w:pPr>
    <w:rPr>
      <w:rFonts w:ascii="Helvetica" w:eastAsia="Times New Roman" w:hAnsi="Helvetica" w:cs="Helvetica"/>
      <w:b/>
      <w:bCs/>
      <w:kern w:val="36"/>
      <w:sz w:val="39"/>
      <w:szCs w:val="39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21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17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E2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17C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E217C"/>
    <w:rPr>
      <w:rFonts w:ascii="Helvetica" w:eastAsia="Times New Roman" w:hAnsi="Helvetica" w:cs="Helvetica"/>
      <w:b/>
      <w:bCs/>
      <w:kern w:val="36"/>
      <w:sz w:val="39"/>
      <w:szCs w:val="39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2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3E21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21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17C"/>
    <w:rPr>
      <w:color w:val="0000FF" w:themeColor="hyperlink"/>
      <w:u w:val="single"/>
    </w:rPr>
  </w:style>
  <w:style w:type="paragraph" w:customStyle="1" w:styleId="rteindent1">
    <w:name w:val="rteindent1"/>
    <w:basedOn w:val="Normal"/>
    <w:rsid w:val="003E217C"/>
    <w:pPr>
      <w:spacing w:after="150" w:line="315" w:lineRule="atLeast"/>
      <w:ind w:left="600"/>
    </w:pPr>
    <w:rPr>
      <w:rFonts w:ascii="Open Sans" w:eastAsia="Times New Roman" w:hAnsi="Open Sans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1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873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1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48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1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1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46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82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acienda.pr.gov/sites/default/files/codigo_de_rentas_internas_11-19-2014_0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customXml" Target="../customXml/item3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gociado xmlns="5f0ae432-0749-408f-8ead-50bf53da4852">159</Negociado>
    <Area xmlns="5f0ae432-0749-408f-8ead-50bf53da4852">2</Area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E2633C7E-DAAC-408C-A40C-AA21E950FC0E}"/>
</file>

<file path=customXml/itemProps2.xml><?xml version="1.0" encoding="utf-8"?>
<ds:datastoreItem xmlns:ds="http://schemas.openxmlformats.org/officeDocument/2006/customXml" ds:itemID="{96BFC6E6-C438-43E9-8319-3908288CFD4D}"/>
</file>

<file path=customXml/itemProps3.xml><?xml version="1.0" encoding="utf-8"?>
<ds:datastoreItem xmlns:ds="http://schemas.openxmlformats.org/officeDocument/2006/customXml" ds:itemID="{3283AD2A-9CB0-4D6B-A117-6BEFEF8D9489}"/>
</file>

<file path=customXml/itemProps4.xml><?xml version="1.0" encoding="utf-8"?>
<ds:datastoreItem xmlns:ds="http://schemas.openxmlformats.org/officeDocument/2006/customXml" ds:itemID="{5A75A740-4EE0-436A-B511-386321BBAC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Embargos Electrónicos </vt:lpstr>
    </vt:vector>
  </TitlesOfParts>
  <Company>Area de Rentas Internas</Company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Embargos Electrónicos </dc:title>
  <dc:subject>Referido</dc:subject>
  <dc:creator>Alma Delgado Pagan</dc:creator>
  <cp:keywords>NREC</cp:keywords>
  <dc:description/>
  <cp:lastModifiedBy>jtb3509</cp:lastModifiedBy>
  <cp:revision>4</cp:revision>
  <dcterms:created xsi:type="dcterms:W3CDTF">2015-09-25T19:54:00Z</dcterms:created>
  <dcterms:modified xsi:type="dcterms:W3CDTF">2015-09-25T20:00:00Z</dcterms:modified>
  <cp:category>Negociado de Recaudaciones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