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DE2A6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11025D" w:rsidRPr="00163E73" w:rsidRDefault="00421294" w:rsidP="00421294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Brinda información sobre</w:t>
      </w:r>
      <w:r w:rsidRPr="00421294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D2580F">
        <w:rPr>
          <w:rFonts w:ascii="Times New Roman" w:hAnsi="Times New Roman"/>
          <w:sz w:val="24"/>
          <w:szCs w:val="24"/>
          <w:lang w:val="es-PR"/>
        </w:rPr>
        <w:t>la ganancia de capital a largo plazo en ventas de propiedad inmueble.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A41CE2" w:rsidTr="00421294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DE2A6B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D196F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421294" w:rsidRPr="00F46859" w:rsidRDefault="00F46859" w:rsidP="00421294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943DA8" w:rsidTr="00C45C99">
        <w:trPr>
          <w:trHeight w:val="517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DE2A6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C45C99" w:rsidRDefault="00C45C99" w:rsidP="00C45C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hAnsi="Times New Roman"/>
          <w:sz w:val="24"/>
          <w:szCs w:val="24"/>
          <w:lang w:val="es-ES"/>
        </w:rPr>
        <w:t>Se exime del pago de contribución sobre ingresos:</w:t>
      </w:r>
    </w:p>
    <w:p w:rsidR="00C45C99" w:rsidRPr="00C45C99" w:rsidRDefault="00C45C99" w:rsidP="00C45C9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La totalidad de la ganancia neta de capital a largo plazo generada en la venta de una Vivienda Elegible entre el 1 de enero de 2014 y el 31 de diciembre de 2014.  Aplica a propiedad </w:t>
      </w:r>
      <w:r w:rsidRPr="00C45C99">
        <w:rPr>
          <w:rFonts w:ascii="Times New Roman" w:eastAsia="Times New Roman" w:hAnsi="Times New Roman"/>
          <w:bCs/>
          <w:sz w:val="24"/>
          <w:szCs w:val="24"/>
          <w:u w:val="single"/>
          <w:lang w:val="es-ES"/>
        </w:rPr>
        <w:t>adquirida</w:t>
      </w: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por el vendedor o por un Inversionista Institucional Cualificado a partir del 1 de julio de 2013, pero en o antes del 31 de agosto de 2015. Estará exenta del pago de contribución básica alterna y de la contribución alterna mínima, provistas por el Código.  </w:t>
      </w:r>
    </w:p>
    <w:p w:rsidR="00C45C99" w:rsidRPr="00C45C99" w:rsidRDefault="00C45C99" w:rsidP="00C45C9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Se dispone que la presente exención aplicará de igual forma a aquel adquiriente que compra una unidad de vivienda elegible a un Inversionista Institucional Cualificado, siempre y cuando sea la primera venta que hace el Inversionista después de su adquisición inicial. </w:t>
      </w:r>
    </w:p>
    <w:p w:rsidR="00C45C99" w:rsidRPr="000044F4" w:rsidRDefault="00C45C99" w:rsidP="00C45C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0044F4">
        <w:rPr>
          <w:rFonts w:ascii="Times New Roman" w:hAnsi="Times New Roman"/>
          <w:b/>
          <w:sz w:val="24"/>
          <w:szCs w:val="24"/>
        </w:rPr>
        <w:t>Definiciones</w:t>
      </w:r>
    </w:p>
    <w:p w:rsidR="00C45C99" w:rsidRPr="00C45C99" w:rsidRDefault="00C45C99" w:rsidP="00C45C9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Vivienda Elegible </w:t>
      </w:r>
    </w:p>
    <w:p w:rsidR="00C45C99" w:rsidRPr="00C45C99" w:rsidRDefault="00C45C99" w:rsidP="00C45C99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Significa aquella propiedad de nueva construcción, según definida en el inciso (a) (1) del Artículo 2 de la Ley 216-2011, cuya fase de construcción se encontrase, como mínimo, a un 50% de su realización, al 30 de junio de 2013.</w:t>
      </w:r>
    </w:p>
    <w:p w:rsidR="00C45C99" w:rsidRPr="00C45C99" w:rsidRDefault="00C45C99" w:rsidP="00C45C9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Inversionista Institucional Calificado </w:t>
      </w:r>
    </w:p>
    <w:p w:rsidR="00C45C99" w:rsidRPr="00C45C99" w:rsidRDefault="00C45C99" w:rsidP="00C45C99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Significa todo individuo o persona jurídica residente de Puerto Rico, o todo individuo o persona jurídica no residente de Puerto Rico, que se dedique al negocio de la construcción que invierta en un solo acto o en actos separados, exclusivamente en unidades de Vivienda Elegibles, un mínimo de </w:t>
      </w:r>
      <w:r w:rsidR="00D2580F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un </w:t>
      </w:r>
      <w:r w:rsidR="00D2580F"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$</w:t>
      </w:r>
      <w:r w:rsidR="00D2580F">
        <w:rPr>
          <w:rFonts w:ascii="Times New Roman" w:eastAsia="Times New Roman" w:hAnsi="Times New Roman"/>
          <w:bCs/>
          <w:sz w:val="24"/>
          <w:szCs w:val="24"/>
          <w:lang w:val="es-ES"/>
        </w:rPr>
        <w:t>(</w:t>
      </w:r>
      <w:r w:rsidR="00D2580F"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1</w:t>
      </w:r>
      <w:r w:rsidR="00A86C02">
        <w:rPr>
          <w:rFonts w:ascii="Times New Roman" w:eastAsia="Times New Roman" w:hAnsi="Times New Roman"/>
          <w:bCs/>
          <w:sz w:val="24"/>
          <w:szCs w:val="24"/>
          <w:lang w:val="es-ES"/>
        </w:rPr>
        <w:t>,</w:t>
      </w:r>
      <w:r w:rsidR="00A86C02"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000,000.00</w:t>
      </w:r>
      <w:r w:rsidR="00D2580F">
        <w:rPr>
          <w:rFonts w:ascii="Times New Roman" w:eastAsia="Times New Roman" w:hAnsi="Times New Roman"/>
          <w:bCs/>
          <w:sz w:val="24"/>
          <w:szCs w:val="24"/>
          <w:lang w:val="es-ES"/>
        </w:rPr>
        <w:t>)</w:t>
      </w:r>
      <w:r w:rsidR="00D2580F"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</w:t>
      </w:r>
      <w:r w:rsidR="00D2580F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millón </w:t>
      </w: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o adquiera no menos de 5 unidades de Vivienda Elegibles.”</w:t>
      </w:r>
    </w:p>
    <w:p w:rsidR="00C45C99" w:rsidRPr="00C45C99" w:rsidRDefault="00C45C99" w:rsidP="00C45C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hAnsi="Times New Roman"/>
          <w:sz w:val="24"/>
          <w:szCs w:val="24"/>
          <w:lang w:val="es-PR"/>
        </w:rPr>
        <w:t xml:space="preserve">Declaración en la Planilla       </w:t>
      </w:r>
    </w:p>
    <w:p w:rsidR="00C45C99" w:rsidRPr="00C45C99" w:rsidRDefault="00C45C99" w:rsidP="00C45C99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hAnsi="Times New Roman"/>
          <w:sz w:val="24"/>
          <w:szCs w:val="24"/>
          <w:lang w:val="es-PR"/>
        </w:rPr>
        <w:t>La ganancia en la venta se informará en el Anejo D, Parte II, Columna F, según se ilustra a continuación.</w:t>
      </w:r>
    </w:p>
    <w:p w:rsidR="00C45C99" w:rsidRPr="007D3E21" w:rsidRDefault="00C45C99" w:rsidP="007D3E21">
      <w:pPr>
        <w:tabs>
          <w:tab w:val="left" w:pos="-90"/>
          <w:tab w:val="left" w:pos="0"/>
          <w:tab w:val="left" w:pos="9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C45C99" w:rsidRPr="00C45C99" w:rsidRDefault="00C45C99" w:rsidP="00C45C99">
      <w:pPr>
        <w:pStyle w:val="ListParagraph"/>
        <w:numPr>
          <w:ilvl w:val="0"/>
          <w:numId w:val="47"/>
        </w:numPr>
        <w:tabs>
          <w:tab w:val="left" w:pos="-90"/>
          <w:tab w:val="left" w:pos="0"/>
          <w:tab w:val="left" w:pos="90"/>
          <w:tab w:val="left" w:pos="108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C45C99">
        <w:rPr>
          <w:rFonts w:ascii="Times New Roman" w:hAnsi="Times New Roman"/>
          <w:sz w:val="24"/>
          <w:szCs w:val="24"/>
          <w:lang w:val="es-PR"/>
        </w:rPr>
        <w:t xml:space="preserve">Como la declaración de esta ganancia es para propósitos informativos, dicha  cantidad </w:t>
      </w:r>
      <w:r w:rsidRPr="00C45C99">
        <w:rPr>
          <w:rFonts w:ascii="Times New Roman" w:hAnsi="Times New Roman"/>
          <w:b/>
          <w:sz w:val="24"/>
          <w:szCs w:val="24"/>
          <w:u w:val="single"/>
          <w:lang w:val="es-PR"/>
        </w:rPr>
        <w:t>no</w:t>
      </w:r>
      <w:r w:rsidRPr="00C45C99">
        <w:rPr>
          <w:rFonts w:ascii="Times New Roman" w:hAnsi="Times New Roman"/>
          <w:sz w:val="24"/>
          <w:szCs w:val="24"/>
          <w:lang w:val="es-PR"/>
        </w:rPr>
        <w:t xml:space="preserve"> se trasladará a la Columna G.</w:t>
      </w:r>
    </w:p>
    <w:p w:rsidR="00C45C99" w:rsidRDefault="00C45C99" w:rsidP="00C45C99">
      <w:pPr>
        <w:pStyle w:val="ListParagraph"/>
        <w:numPr>
          <w:ilvl w:val="0"/>
          <w:numId w:val="46"/>
        </w:numPr>
        <w:tabs>
          <w:tab w:val="left" w:pos="-90"/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C99">
        <w:rPr>
          <w:rFonts w:ascii="Times New Roman" w:hAnsi="Times New Roman"/>
          <w:sz w:val="24"/>
          <w:szCs w:val="24"/>
        </w:rPr>
        <w:t>Evidencias</w:t>
      </w:r>
    </w:p>
    <w:p w:rsidR="007D3E21" w:rsidRDefault="00C45C99" w:rsidP="00C45C99">
      <w:pPr>
        <w:pStyle w:val="ListParagraph"/>
        <w:numPr>
          <w:ilvl w:val="1"/>
          <w:numId w:val="46"/>
        </w:numPr>
        <w:tabs>
          <w:tab w:val="left" w:pos="-90"/>
          <w:tab w:val="left" w:pos="0"/>
          <w:tab w:val="left" w:pos="9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C45C99">
        <w:rPr>
          <w:rFonts w:ascii="Times New Roman" w:hAnsi="Times New Roman"/>
          <w:sz w:val="24"/>
          <w:szCs w:val="24"/>
          <w:lang w:val="es-PR"/>
        </w:rPr>
        <w:t>Acompañar con la Planilla copia de la Certificación emitida por el Departamento de Hacienda</w:t>
      </w:r>
    </w:p>
    <w:p w:rsidR="007D3E21" w:rsidRDefault="007D3E21" w:rsidP="007D3E21">
      <w:pPr>
        <w:pStyle w:val="ListParagraph"/>
        <w:tabs>
          <w:tab w:val="left" w:pos="-90"/>
          <w:tab w:val="left" w:pos="0"/>
          <w:tab w:val="left" w:pos="90"/>
        </w:tabs>
        <w:spacing w:after="120" w:line="240" w:lineRule="auto"/>
        <w:ind w:left="2160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7D3E21" w:rsidRDefault="003A0789" w:rsidP="007D3E21">
      <w:pPr>
        <w:pStyle w:val="ListParagraph"/>
        <w:tabs>
          <w:tab w:val="left" w:pos="-90"/>
          <w:tab w:val="left" w:pos="0"/>
          <w:tab w:val="left" w:pos="90"/>
        </w:tabs>
        <w:spacing w:after="120" w:line="240" w:lineRule="auto"/>
        <w:ind w:left="2160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6" o:spid="_x0000_s1028" type="#_x0000_t75" style="position:absolute;left:0;text-align:left;margin-left:1.65pt;margin-top:110pt;width:466pt;height:109pt;z-index:251661312;visibility:visible;mso-position-horizontal-relative:margin;mso-position-vertic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YsQ7DAAAA2wAAAA8AAABkcnMvZG93bnJldi54bWxEj1uLwjAUhN8X/A/hCPuyaLouFKlGEUWQ&#10;fVm84POxOb3Q5qQk2dr99xtB8HGYmW+Y5XowrejJ+dqygs9pAoI4t7rmUsHlvJ/MQfiArLG1TAr+&#10;yMN6NXpbYqbtnY/Un0IpIoR9hgqqELpMSp9XZNBPbUccvcI6gyFKV0rt8B7hppWzJEmlwZrjQoUd&#10;bSvKm9OvUVA0c/eV0vbbH5oPvt76n92lLJR6Hw+bBYhAQ3iFn+2DVpCm8Pg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5ixDsMAAADbAAAADwAAAAAAAAAAAAAAAACf&#10;AgAAZHJzL2Rvd25yZXYueG1sUEsFBgAAAAAEAAQA9wAAAI8DAAAAAA==&#10;">
            <v:imagedata r:id="rId11" o:title=""/>
            <v:shadow on="t" color="#333" opacity="42598f" origin="-.5,-.5" offset="2.74397mm,2.74397mm"/>
            <v:path arrowok="t"/>
            <w10:wrap type="square" anchorx="margin" anchory="margin"/>
          </v:shape>
        </w:pic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943DA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421294">
            <w:pPr>
              <w:pStyle w:val="NormalWeb"/>
              <w:spacing w:before="240" w:beforeAutospacing="0" w:after="0" w:afterAutospacing="0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DE2A6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DE2A6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943DA8" w:rsidRPr="007D23A1" w:rsidRDefault="003A0789" w:rsidP="00943DA8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943DA8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943DA8" w:rsidRPr="007D23A1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943DA8" w:rsidRPr="007D23A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21294" w:rsidRPr="00D2580F" w:rsidRDefault="00D2580F" w:rsidP="007D23A1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Ley 68-2013</w:t>
      </w:r>
    </w:p>
    <w:p w:rsidR="00D2580F" w:rsidRPr="00381414" w:rsidRDefault="00D2580F" w:rsidP="007D23A1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Ley 216-2011</w:t>
      </w:r>
    </w:p>
    <w:p w:rsidR="00381414" w:rsidRPr="007D23A1" w:rsidRDefault="00381414" w:rsidP="007D23A1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1031.02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943DA8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A23AC" w:rsidRDefault="00C81510" w:rsidP="00934BD4">
            <w:pPr>
              <w:pStyle w:val="NormalWeb"/>
              <w:rPr>
                <w:color w:val="000000"/>
                <w:sz w:val="28"/>
                <w:szCs w:val="28"/>
                <w:lang w:val="es-PR"/>
              </w:rPr>
            </w:pPr>
            <w:r w:rsidRPr="00EA23AC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EA23AC" w:rsidRDefault="00DE2A6B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EA23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7D23A1" w:rsidRDefault="00421294" w:rsidP="007D23A1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D23A1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943DA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421294" w:rsidRDefault="00421294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421294" w:rsidRPr="00B96F57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21294" w:rsidRDefault="00421294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421294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421294" w:rsidRPr="00B96F57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21294" w:rsidRDefault="00421294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421294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421294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421294" w:rsidRPr="00B96F57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21294" w:rsidRDefault="00421294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421294" w:rsidRPr="00B96F57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21294" w:rsidRPr="001A0C2B" w:rsidRDefault="003A0789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 xml:space="preserve">Directorio </w:t>
        </w:r>
        <w:r w:rsidR="00DE2A6B">
          <w:rPr>
            <w:rStyle w:val="Hyperlink"/>
            <w:rFonts w:ascii="Times New Roman" w:hAnsi="Times New Roman"/>
            <w:sz w:val="24"/>
            <w:lang w:val="es-PR"/>
          </w:rPr>
          <w:t>de Colectur</w:t>
        </w:r>
        <w:r w:rsidR="00B724BC">
          <w:rPr>
            <w:rStyle w:val="Hyperlink"/>
            <w:rFonts w:ascii="Times New Roman" w:hAnsi="Times New Roman"/>
            <w:sz w:val="24"/>
            <w:lang w:val="es-PR"/>
          </w:rPr>
          <w:t>i</w:t>
        </w:r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421294" w:rsidRPr="001A0C2B" w:rsidRDefault="003A0789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421294" w:rsidRPr="001A0C2B" w:rsidRDefault="003A0789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421294" w:rsidRPr="00FE445C" w:rsidRDefault="003A0789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A86C02" w:rsidRDefault="00A86C02" w:rsidP="00A86C02">
      <w:pPr>
        <w:pStyle w:val="ListParagraph"/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A86C02">
        <w:rPr>
          <w:rFonts w:ascii="Times New Roman" w:hAnsi="Times New Roman"/>
          <w:sz w:val="24"/>
          <w:szCs w:val="24"/>
          <w:u w:val="single"/>
          <w:lang w:val="es-PR"/>
        </w:rPr>
        <w:t>Anejo D-Ganancias y p</w:t>
      </w:r>
      <w:r>
        <w:rPr>
          <w:rFonts w:ascii="Times New Roman" w:hAnsi="Times New Roman"/>
          <w:sz w:val="24"/>
          <w:szCs w:val="24"/>
          <w:u w:val="single"/>
          <w:lang w:val="es-PR"/>
        </w:rPr>
        <w:t xml:space="preserve">érdidas de activos de capital, </w:t>
      </w:r>
      <w:r w:rsidRPr="00A86C02">
        <w:rPr>
          <w:rFonts w:ascii="Times New Roman" w:hAnsi="Times New Roman"/>
          <w:sz w:val="24"/>
          <w:szCs w:val="24"/>
          <w:u w:val="single"/>
          <w:lang w:val="es-PR"/>
        </w:rPr>
        <w:t>distribuciones totales de planes de retiro cualificados y cuentas de anualidad variable</w:t>
      </w:r>
    </w:p>
    <w:p w:rsidR="00A86C02" w:rsidRPr="00013FC9" w:rsidRDefault="003A0789" w:rsidP="00A86C02">
      <w:pPr>
        <w:pStyle w:val="ListParagraph"/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A86C02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86C02" w:rsidRPr="00013FC9" w:rsidRDefault="00A86C02" w:rsidP="00A86C02">
      <w:pPr>
        <w:pStyle w:val="ListParagraph"/>
        <w:numPr>
          <w:ilvl w:val="0"/>
          <w:numId w:val="49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1F50AF" w:rsidRDefault="001E5F9F" w:rsidP="00CC2A43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1F50AF" w:rsidSect="00D3407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85" w:rsidRDefault="00FD5085" w:rsidP="005501A9">
      <w:pPr>
        <w:spacing w:after="0" w:line="240" w:lineRule="auto"/>
      </w:pPr>
      <w:r>
        <w:separator/>
      </w:r>
    </w:p>
  </w:endnote>
  <w:endnote w:type="continuationSeparator" w:id="0">
    <w:p w:rsidR="00FD5085" w:rsidRDefault="00FD508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DB" w:rsidRDefault="008C11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A94179" w:rsidRPr="00943DA8" w:rsidTr="00A94179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94179" w:rsidRDefault="00A9417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A078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3A0789">
            <w:rPr>
              <w:rFonts w:ascii="Times New Roman" w:hAnsi="Times New Roman"/>
            </w:rPr>
            <w:fldChar w:fldCharType="separate"/>
          </w:r>
          <w:r w:rsidR="008C11DB" w:rsidRPr="008C11DB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3A0789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A94179" w:rsidRDefault="00A94179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A94179" w:rsidRDefault="00A94179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A94179" w:rsidRDefault="00A94179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A94179" w:rsidRDefault="00A94179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A94179" w:rsidRDefault="00A94179" w:rsidP="00A94179">
    <w:pPr>
      <w:rPr>
        <w:rFonts w:ascii="Times New Roman" w:hAnsi="Times New Roman"/>
        <w:lang w:val="es-PR"/>
      </w:rPr>
    </w:pPr>
  </w:p>
  <w:p w:rsidR="00CF03B8" w:rsidRPr="00DE2A6B" w:rsidRDefault="00CF03B8" w:rsidP="00A94179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DB" w:rsidRDefault="008C1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85" w:rsidRDefault="00FD5085" w:rsidP="005501A9">
      <w:pPr>
        <w:spacing w:after="0" w:line="240" w:lineRule="auto"/>
      </w:pPr>
      <w:r>
        <w:separator/>
      </w:r>
    </w:p>
  </w:footnote>
  <w:footnote w:type="continuationSeparator" w:id="0">
    <w:p w:rsidR="00FD5085" w:rsidRDefault="00FD508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DB" w:rsidRDefault="008C11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86C02" w:rsidRPr="00943DA8" w:rsidTr="004E268B">
      <w:trPr>
        <w:trHeight w:val="288"/>
      </w:trPr>
      <w:tc>
        <w:tcPr>
          <w:tcW w:w="8395" w:type="dxa"/>
        </w:tcPr>
        <w:p w:rsidR="00A86C02" w:rsidRDefault="00A86C02" w:rsidP="004E268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A86C02" w:rsidRPr="00943DA8" w:rsidRDefault="00A86C02" w:rsidP="004E268B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943DA8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943DA8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A86C02" w:rsidRPr="00446DFA" w:rsidRDefault="00A86C02" w:rsidP="004E268B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A86C02" w:rsidRPr="00A86C02" w:rsidRDefault="00C313F3" w:rsidP="00A86C02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Ganancia de capital a l</w:t>
          </w:r>
          <w:r w:rsidR="00A86C02" w:rsidRPr="00A86C0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argo 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plazo –Venta propiedad i</w:t>
          </w:r>
          <w:r w:rsidR="00A86C02" w:rsidRPr="00A86C0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nmueble</w:t>
          </w:r>
          <w:r w:rsidR="00943DA8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(Anejo D)</w:t>
          </w:r>
        </w:p>
      </w:tc>
      <w:tc>
        <w:tcPr>
          <w:tcW w:w="1195" w:type="dxa"/>
        </w:tcPr>
        <w:p w:rsidR="00A86C02" w:rsidRPr="00D049E5" w:rsidRDefault="003A0789" w:rsidP="004E268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3A0789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9pt;width:83.25pt;height:28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86C02" w:rsidRPr="00446DFA" w:rsidRDefault="00A86C02" w:rsidP="00A86C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DAC-033</w:t>
                      </w:r>
                    </w:p>
                    <w:p w:rsidR="00A86C02" w:rsidRPr="002608D6" w:rsidRDefault="00943DA8" w:rsidP="00A86C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A86C02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A86C02" w:rsidRPr="005F26F6" w:rsidRDefault="00A86C02" w:rsidP="00A86C02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DB" w:rsidRDefault="008C1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54AC3"/>
    <w:multiLevelType w:val="hybridMultilevel"/>
    <w:tmpl w:val="7A9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6047E"/>
    <w:multiLevelType w:val="hybridMultilevel"/>
    <w:tmpl w:val="FF063A30"/>
    <w:lvl w:ilvl="0" w:tplc="74EC205E">
      <w:start w:val="1"/>
      <w:numFmt w:val="lowerRoman"/>
      <w:lvlText w:val="%1."/>
      <w:lvlJc w:val="right"/>
      <w:pPr>
        <w:ind w:left="810" w:hanging="18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0B02"/>
    <w:multiLevelType w:val="hybridMultilevel"/>
    <w:tmpl w:val="2C2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B4A02"/>
    <w:multiLevelType w:val="hybridMultilevel"/>
    <w:tmpl w:val="FF889ED2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77D12"/>
    <w:multiLevelType w:val="hybridMultilevel"/>
    <w:tmpl w:val="F81E50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F610362"/>
    <w:multiLevelType w:val="multilevel"/>
    <w:tmpl w:val="38DE1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A03ECE"/>
    <w:multiLevelType w:val="hybridMultilevel"/>
    <w:tmpl w:val="2D383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72D20"/>
    <w:multiLevelType w:val="hybridMultilevel"/>
    <w:tmpl w:val="D81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02A6805"/>
    <w:multiLevelType w:val="hybridMultilevel"/>
    <w:tmpl w:val="68A28FE8"/>
    <w:lvl w:ilvl="0" w:tplc="D83E52D2">
      <w:start w:val="3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5E31DD"/>
    <w:multiLevelType w:val="hybridMultilevel"/>
    <w:tmpl w:val="D182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1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7E5D90"/>
    <w:multiLevelType w:val="multilevel"/>
    <w:tmpl w:val="BD6E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(%4)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702B612B"/>
    <w:multiLevelType w:val="multilevel"/>
    <w:tmpl w:val="6F8CCC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(%4)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C87E92"/>
    <w:multiLevelType w:val="hybridMultilevel"/>
    <w:tmpl w:val="C7D2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B04F5"/>
    <w:multiLevelType w:val="hybridMultilevel"/>
    <w:tmpl w:val="34F60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9"/>
  </w:num>
  <w:num w:numId="3">
    <w:abstractNumId w:val="40"/>
  </w:num>
  <w:num w:numId="4">
    <w:abstractNumId w:val="48"/>
  </w:num>
  <w:num w:numId="5">
    <w:abstractNumId w:val="22"/>
  </w:num>
  <w:num w:numId="6">
    <w:abstractNumId w:val="18"/>
  </w:num>
  <w:num w:numId="7">
    <w:abstractNumId w:val="32"/>
  </w:num>
  <w:num w:numId="8">
    <w:abstractNumId w:val="14"/>
  </w:num>
  <w:num w:numId="9">
    <w:abstractNumId w:val="36"/>
  </w:num>
  <w:num w:numId="10">
    <w:abstractNumId w:val="13"/>
  </w:num>
  <w:num w:numId="11">
    <w:abstractNumId w:val="1"/>
  </w:num>
  <w:num w:numId="12">
    <w:abstractNumId w:val="45"/>
  </w:num>
  <w:num w:numId="13">
    <w:abstractNumId w:val="4"/>
  </w:num>
  <w:num w:numId="14">
    <w:abstractNumId w:val="37"/>
  </w:num>
  <w:num w:numId="15">
    <w:abstractNumId w:val="9"/>
  </w:num>
  <w:num w:numId="16">
    <w:abstractNumId w:val="28"/>
  </w:num>
  <w:num w:numId="17">
    <w:abstractNumId w:val="6"/>
  </w:num>
  <w:num w:numId="18">
    <w:abstractNumId w:val="34"/>
  </w:num>
  <w:num w:numId="19">
    <w:abstractNumId w:val="19"/>
  </w:num>
  <w:num w:numId="20">
    <w:abstractNumId w:val="33"/>
  </w:num>
  <w:num w:numId="21">
    <w:abstractNumId w:val="16"/>
  </w:num>
  <w:num w:numId="22">
    <w:abstractNumId w:val="2"/>
  </w:num>
  <w:num w:numId="23">
    <w:abstractNumId w:val="41"/>
  </w:num>
  <w:num w:numId="24">
    <w:abstractNumId w:val="42"/>
  </w:num>
  <w:num w:numId="25">
    <w:abstractNumId w:val="12"/>
  </w:num>
  <w:num w:numId="26">
    <w:abstractNumId w:val="0"/>
  </w:num>
  <w:num w:numId="27">
    <w:abstractNumId w:val="26"/>
  </w:num>
  <w:num w:numId="28">
    <w:abstractNumId w:val="21"/>
  </w:num>
  <w:num w:numId="29">
    <w:abstractNumId w:val="20"/>
  </w:num>
  <w:num w:numId="30">
    <w:abstractNumId w:val="29"/>
  </w:num>
  <w:num w:numId="31">
    <w:abstractNumId w:val="5"/>
  </w:num>
  <w:num w:numId="32">
    <w:abstractNumId w:val="24"/>
  </w:num>
  <w:num w:numId="33">
    <w:abstractNumId w:val="7"/>
  </w:num>
  <w:num w:numId="34">
    <w:abstractNumId w:val="47"/>
  </w:num>
  <w:num w:numId="35">
    <w:abstractNumId w:val="46"/>
  </w:num>
  <w:num w:numId="36">
    <w:abstractNumId w:val="27"/>
  </w:num>
  <w:num w:numId="37">
    <w:abstractNumId w:val="31"/>
  </w:num>
  <w:num w:numId="38">
    <w:abstractNumId w:val="15"/>
  </w:num>
  <w:num w:numId="39">
    <w:abstractNumId w:val="3"/>
  </w:num>
  <w:num w:numId="40">
    <w:abstractNumId w:val="38"/>
  </w:num>
  <w:num w:numId="41">
    <w:abstractNumId w:val="43"/>
  </w:num>
  <w:num w:numId="42">
    <w:abstractNumId w:val="25"/>
  </w:num>
  <w:num w:numId="43">
    <w:abstractNumId w:val="35"/>
  </w:num>
  <w:num w:numId="44">
    <w:abstractNumId w:val="44"/>
  </w:num>
  <w:num w:numId="45">
    <w:abstractNumId w:val="11"/>
  </w:num>
  <w:num w:numId="46">
    <w:abstractNumId w:val="23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44F4"/>
    <w:rsid w:val="00005355"/>
    <w:rsid w:val="000103CD"/>
    <w:rsid w:val="00021BB5"/>
    <w:rsid w:val="00022098"/>
    <w:rsid w:val="000266FA"/>
    <w:rsid w:val="00031913"/>
    <w:rsid w:val="00032898"/>
    <w:rsid w:val="00032D48"/>
    <w:rsid w:val="00035A7B"/>
    <w:rsid w:val="00037674"/>
    <w:rsid w:val="000458BF"/>
    <w:rsid w:val="00047063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C72FE"/>
    <w:rsid w:val="000D60F9"/>
    <w:rsid w:val="000E4017"/>
    <w:rsid w:val="000F40B6"/>
    <w:rsid w:val="000F7989"/>
    <w:rsid w:val="00101F32"/>
    <w:rsid w:val="0011025D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3E73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1481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0712"/>
    <w:rsid w:val="003556DB"/>
    <w:rsid w:val="00362B7B"/>
    <w:rsid w:val="0036675A"/>
    <w:rsid w:val="00370141"/>
    <w:rsid w:val="00381414"/>
    <w:rsid w:val="00393F9D"/>
    <w:rsid w:val="003950A0"/>
    <w:rsid w:val="00396926"/>
    <w:rsid w:val="003A0789"/>
    <w:rsid w:val="003A0D1E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1294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0FDD"/>
    <w:rsid w:val="00506097"/>
    <w:rsid w:val="005115C4"/>
    <w:rsid w:val="005241A9"/>
    <w:rsid w:val="00527066"/>
    <w:rsid w:val="00532C7E"/>
    <w:rsid w:val="00532CF3"/>
    <w:rsid w:val="00537AFD"/>
    <w:rsid w:val="005420A8"/>
    <w:rsid w:val="00542980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20BD5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6AE9"/>
    <w:rsid w:val="00722794"/>
    <w:rsid w:val="00726CF4"/>
    <w:rsid w:val="007271F4"/>
    <w:rsid w:val="00735FB7"/>
    <w:rsid w:val="007415A2"/>
    <w:rsid w:val="0074728C"/>
    <w:rsid w:val="0075549C"/>
    <w:rsid w:val="0076116F"/>
    <w:rsid w:val="00781E56"/>
    <w:rsid w:val="00790A6E"/>
    <w:rsid w:val="00793C85"/>
    <w:rsid w:val="0079658A"/>
    <w:rsid w:val="007B16C0"/>
    <w:rsid w:val="007B1C6B"/>
    <w:rsid w:val="007B3534"/>
    <w:rsid w:val="007B4C53"/>
    <w:rsid w:val="007C089B"/>
    <w:rsid w:val="007C4C59"/>
    <w:rsid w:val="007C795B"/>
    <w:rsid w:val="007D07C4"/>
    <w:rsid w:val="007D196F"/>
    <w:rsid w:val="007D23A1"/>
    <w:rsid w:val="007D3E21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36815"/>
    <w:rsid w:val="00840700"/>
    <w:rsid w:val="00841D9E"/>
    <w:rsid w:val="008542CD"/>
    <w:rsid w:val="00856C77"/>
    <w:rsid w:val="008766CF"/>
    <w:rsid w:val="00877A45"/>
    <w:rsid w:val="008947B8"/>
    <w:rsid w:val="008A0367"/>
    <w:rsid w:val="008B7F12"/>
    <w:rsid w:val="008C11DB"/>
    <w:rsid w:val="008C29E6"/>
    <w:rsid w:val="008C479E"/>
    <w:rsid w:val="008F34D6"/>
    <w:rsid w:val="00910F3B"/>
    <w:rsid w:val="00916D37"/>
    <w:rsid w:val="00917173"/>
    <w:rsid w:val="009177F5"/>
    <w:rsid w:val="00920F3A"/>
    <w:rsid w:val="00922876"/>
    <w:rsid w:val="00924F05"/>
    <w:rsid w:val="00933418"/>
    <w:rsid w:val="00934BD4"/>
    <w:rsid w:val="0093666D"/>
    <w:rsid w:val="00943DA8"/>
    <w:rsid w:val="00951825"/>
    <w:rsid w:val="00953728"/>
    <w:rsid w:val="00953C5A"/>
    <w:rsid w:val="00963FB9"/>
    <w:rsid w:val="0097559D"/>
    <w:rsid w:val="00976F5B"/>
    <w:rsid w:val="00983F08"/>
    <w:rsid w:val="009A1E26"/>
    <w:rsid w:val="009B1976"/>
    <w:rsid w:val="009B26E4"/>
    <w:rsid w:val="009B2C9B"/>
    <w:rsid w:val="009C3BD1"/>
    <w:rsid w:val="009D5454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41CE2"/>
    <w:rsid w:val="00A43EAB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C02"/>
    <w:rsid w:val="00A877BD"/>
    <w:rsid w:val="00A87E54"/>
    <w:rsid w:val="00A902C1"/>
    <w:rsid w:val="00A94179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16AC8"/>
    <w:rsid w:val="00B20C43"/>
    <w:rsid w:val="00B26E30"/>
    <w:rsid w:val="00B34D73"/>
    <w:rsid w:val="00B354E6"/>
    <w:rsid w:val="00B45ED1"/>
    <w:rsid w:val="00B51703"/>
    <w:rsid w:val="00B54FFF"/>
    <w:rsid w:val="00B65025"/>
    <w:rsid w:val="00B671BF"/>
    <w:rsid w:val="00B724BC"/>
    <w:rsid w:val="00B80DEA"/>
    <w:rsid w:val="00B841AB"/>
    <w:rsid w:val="00B85236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0A8E"/>
    <w:rsid w:val="00BD5A35"/>
    <w:rsid w:val="00BD66BA"/>
    <w:rsid w:val="00BD70E4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313F3"/>
    <w:rsid w:val="00C4288E"/>
    <w:rsid w:val="00C45C99"/>
    <w:rsid w:val="00C56D6C"/>
    <w:rsid w:val="00C57A67"/>
    <w:rsid w:val="00C614EA"/>
    <w:rsid w:val="00C62C17"/>
    <w:rsid w:val="00C679DA"/>
    <w:rsid w:val="00C7220A"/>
    <w:rsid w:val="00C77541"/>
    <w:rsid w:val="00C81510"/>
    <w:rsid w:val="00C844D6"/>
    <w:rsid w:val="00C84847"/>
    <w:rsid w:val="00C975AA"/>
    <w:rsid w:val="00CA1937"/>
    <w:rsid w:val="00CA2AF6"/>
    <w:rsid w:val="00CC2660"/>
    <w:rsid w:val="00CC2A43"/>
    <w:rsid w:val="00CD525F"/>
    <w:rsid w:val="00CD63D6"/>
    <w:rsid w:val="00CD6509"/>
    <w:rsid w:val="00CE5481"/>
    <w:rsid w:val="00CE7292"/>
    <w:rsid w:val="00CF03B8"/>
    <w:rsid w:val="00CF2784"/>
    <w:rsid w:val="00CF6CE6"/>
    <w:rsid w:val="00D06581"/>
    <w:rsid w:val="00D06C9C"/>
    <w:rsid w:val="00D17B23"/>
    <w:rsid w:val="00D22047"/>
    <w:rsid w:val="00D2580F"/>
    <w:rsid w:val="00D33863"/>
    <w:rsid w:val="00D34073"/>
    <w:rsid w:val="00D3537B"/>
    <w:rsid w:val="00D42014"/>
    <w:rsid w:val="00D42B72"/>
    <w:rsid w:val="00D57B36"/>
    <w:rsid w:val="00D6743F"/>
    <w:rsid w:val="00D70DD5"/>
    <w:rsid w:val="00D7198C"/>
    <w:rsid w:val="00D72227"/>
    <w:rsid w:val="00D82E99"/>
    <w:rsid w:val="00D90302"/>
    <w:rsid w:val="00D97047"/>
    <w:rsid w:val="00DA163D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2A6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A23AC"/>
    <w:rsid w:val="00EA3F27"/>
    <w:rsid w:val="00EB10E1"/>
    <w:rsid w:val="00EB7ACD"/>
    <w:rsid w:val="00EC0600"/>
    <w:rsid w:val="00ED08E0"/>
    <w:rsid w:val="00EE0ADA"/>
    <w:rsid w:val="00EE130A"/>
    <w:rsid w:val="00EE3A06"/>
    <w:rsid w:val="00EE489A"/>
    <w:rsid w:val="00F028E3"/>
    <w:rsid w:val="00F05AE7"/>
    <w:rsid w:val="00F10880"/>
    <w:rsid w:val="00F109EF"/>
    <w:rsid w:val="00F17576"/>
    <w:rsid w:val="00F3589A"/>
    <w:rsid w:val="00F44F70"/>
    <w:rsid w:val="00F46859"/>
    <w:rsid w:val="00F5308E"/>
    <w:rsid w:val="00F62596"/>
    <w:rsid w:val="00F71A63"/>
    <w:rsid w:val="00F7510A"/>
    <w:rsid w:val="00F80327"/>
    <w:rsid w:val="00F8075F"/>
    <w:rsid w:val="00F814FC"/>
    <w:rsid w:val="00F83691"/>
    <w:rsid w:val="00F916D6"/>
    <w:rsid w:val="00F95728"/>
    <w:rsid w:val="00F965E1"/>
    <w:rsid w:val="00FA7480"/>
    <w:rsid w:val="00FB373F"/>
    <w:rsid w:val="00FB3E01"/>
    <w:rsid w:val="00FB479D"/>
    <w:rsid w:val="00FD084F"/>
    <w:rsid w:val="00FD2713"/>
    <w:rsid w:val="00FD5085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99"/>
    <w:pPr>
      <w:keepNext/>
      <w:keepLines/>
      <w:spacing w:after="0" w:line="240" w:lineRule="auto"/>
      <w:jc w:val="both"/>
      <w:outlineLvl w:val="0"/>
    </w:pPr>
    <w:rPr>
      <w:rFonts w:ascii="Arial Black" w:eastAsiaTheme="majorEastAsia" w:hAnsi="Arial Black" w:cstheme="majorBidi"/>
      <w:b/>
      <w:bCs/>
      <w:sz w:val="28"/>
      <w:szCs w:val="28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5C99"/>
    <w:rPr>
      <w:rFonts w:ascii="Arial Black" w:eastAsiaTheme="majorEastAsia" w:hAnsi="Arial Black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76B72FF3-D7A2-45F0-8331-E51F5B72E3B0}"/>
</file>

<file path=customXml/itemProps2.xml><?xml version="1.0" encoding="utf-8"?>
<ds:datastoreItem xmlns:ds="http://schemas.openxmlformats.org/officeDocument/2006/customXml" ds:itemID="{CF010689-8EF9-4D13-8DC2-8CDF41567FA5}"/>
</file>

<file path=customXml/itemProps3.xml><?xml version="1.0" encoding="utf-8"?>
<ds:datastoreItem xmlns:ds="http://schemas.openxmlformats.org/officeDocument/2006/customXml" ds:itemID="{DD31CE28-B9BC-4438-A7C8-50C79DC26F55}"/>
</file>

<file path=customXml/itemProps4.xml><?xml version="1.0" encoding="utf-8"?>
<ds:datastoreItem xmlns:ds="http://schemas.openxmlformats.org/officeDocument/2006/customXml" ds:itemID="{8B8CBA20-167E-4878-9ED6-772D4FC4F9B9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438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Ganancia de capital a largo plazo–Venta propiedad inmueble (Anejo D)</vt:lpstr>
    </vt:vector>
  </TitlesOfParts>
  <Company>Area de Politica Contributiva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Ganancia de capital a largo plazo–Venta propiedad inmueble (Anejo D)</dc:title>
  <dc:subject>Referido</dc:subject>
  <dc:creator>Edgar R Rivera Cruz</dc:creator>
  <cp:keywords>DAC</cp:keywords>
  <cp:lastModifiedBy>jtb3509</cp:lastModifiedBy>
  <cp:revision>41</cp:revision>
  <cp:lastPrinted>2012-05-17T13:48:00Z</cp:lastPrinted>
  <dcterms:created xsi:type="dcterms:W3CDTF">2015-01-28T20:53:00Z</dcterms:created>
  <dcterms:modified xsi:type="dcterms:W3CDTF">2015-08-24T18:03:00Z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