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23"/>
      </w:tblGrid>
      <w:tr w:rsidR="0047186A" w:rsidRPr="00A625BF" w:rsidTr="00670C6C">
        <w:trPr>
          <w:trHeight w:val="480"/>
        </w:trPr>
        <w:tc>
          <w:tcPr>
            <w:tcW w:w="81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bookmarkStart w:id="0" w:name="_GoBack"/>
            <w:bookmarkEnd w:id="0"/>
            <w:r>
              <w:rPr>
                <w:noProof/>
              </w:rPr>
              <w:t xml:space="preserve">   </w:t>
            </w:r>
            <w:r w:rsidR="002741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23"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FD3490">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CD7324" w:rsidRPr="008B1777" w:rsidRDefault="008B1777" w:rsidP="00AC2B89">
      <w:pPr>
        <w:pStyle w:val="ListParagraph"/>
        <w:numPr>
          <w:ilvl w:val="0"/>
          <w:numId w:val="7"/>
        </w:numPr>
        <w:spacing w:before="120" w:after="120" w:line="240" w:lineRule="auto"/>
        <w:ind w:left="990" w:hanging="450"/>
        <w:rPr>
          <w:rFonts w:ascii="Times New Roman" w:hAnsi="Times New Roman"/>
          <w:sz w:val="24"/>
          <w:szCs w:val="24"/>
          <w:lang w:val="es-PR"/>
        </w:rPr>
      </w:pPr>
      <w:r>
        <w:rPr>
          <w:rFonts w:ascii="Times New Roman" w:hAnsi="Times New Roman"/>
          <w:sz w:val="24"/>
          <w:szCs w:val="24"/>
          <w:lang w:val="es-PR"/>
        </w:rPr>
        <w:t xml:space="preserve">Brinda información sobre </w:t>
      </w:r>
      <w:r w:rsidR="00993797">
        <w:rPr>
          <w:rFonts w:ascii="Times New Roman" w:hAnsi="Times New Roman"/>
          <w:sz w:val="24"/>
          <w:szCs w:val="24"/>
          <w:lang w:val="es-PR"/>
        </w:rPr>
        <w:t>el proceso de fianza que un importador afianzado debe llevar a cabo para utilizar este método como pago de su mercancía importada</w:t>
      </w:r>
      <w:r w:rsidR="002B7B12">
        <w:rPr>
          <w:rFonts w:ascii="Times New Roman" w:hAnsi="Times New Roman"/>
          <w:sz w:val="24"/>
          <w:szCs w:val="24"/>
          <w:lang w:val="es-PR"/>
        </w:rPr>
        <w:t>.</w:t>
      </w:r>
    </w:p>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9517"/>
      </w:tblGrid>
      <w:tr w:rsidR="009B5543" w:rsidRPr="00993797" w:rsidTr="009C5B4F">
        <w:trPr>
          <w:trHeight w:val="495"/>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7" w:type="dxa"/>
            <w:tcBorders>
              <w:left w:val="single" w:sz="4" w:space="0" w:color="auto"/>
            </w:tcBorders>
            <w:shd w:val="clear" w:color="auto" w:fill="F79646" w:themeFill="accent6"/>
            <w:vAlign w:val="center"/>
          </w:tcPr>
          <w:p w:rsidR="009B5543" w:rsidRPr="001B542E" w:rsidRDefault="00FD3490"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3025B3" w:rsidRPr="003025B3" w:rsidRDefault="00BE0482" w:rsidP="003025B3">
      <w:pPr>
        <w:pStyle w:val="ListParagraph"/>
        <w:numPr>
          <w:ilvl w:val="0"/>
          <w:numId w:val="5"/>
        </w:numPr>
        <w:spacing w:before="120" w:after="120" w:line="240" w:lineRule="auto"/>
        <w:ind w:left="907"/>
        <w:rPr>
          <w:rFonts w:ascii="Times New Roman" w:hAnsi="Times New Roman"/>
          <w:color w:val="000000"/>
          <w:lang w:val="es-PR"/>
        </w:rPr>
      </w:pPr>
      <w:r w:rsidRPr="00204FA7">
        <w:rPr>
          <w:rFonts w:ascii="Times New Roman" w:hAnsi="Times New Roman"/>
          <w:b/>
          <w:sz w:val="24"/>
          <w:szCs w:val="24"/>
          <w:lang w:val="es-PR"/>
        </w:rPr>
        <w:t xml:space="preserve"> </w:t>
      </w:r>
      <w:r w:rsidR="003025B3">
        <w:rPr>
          <w:rFonts w:ascii="Times New Roman" w:hAnsi="Times New Roman"/>
          <w:color w:val="000000"/>
          <w:sz w:val="24"/>
          <w:lang w:val="es-PR"/>
        </w:rPr>
        <w:t>Comerciantes</w:t>
      </w:r>
    </w:p>
    <w:tbl>
      <w:tblPr>
        <w:tblW w:w="1033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523"/>
      </w:tblGrid>
      <w:tr w:rsidR="004A5AAE" w:rsidRPr="000D24B1" w:rsidTr="00670C6C">
        <w:trPr>
          <w:trHeight w:val="303"/>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27411B" w:rsidP="00731597">
            <w:pPr>
              <w:pStyle w:val="NormalWeb"/>
              <w:spacing w:before="120" w:beforeAutospacing="0" w:after="120" w:afterAutospacing="0"/>
              <w:rPr>
                <w:rFonts w:ascii="Verdana" w:hAnsi="Verdana" w:cs="Arial"/>
                <w:color w:val="000000"/>
                <w:sz w:val="20"/>
                <w:szCs w:val="20"/>
                <w:lang w:val="es-PR"/>
              </w:rPr>
            </w:pPr>
            <w:r>
              <w:rPr>
                <w:rFonts w:ascii="Arial" w:hAnsi="Arial" w:cs="Arial"/>
                <w:noProof/>
                <w:color w:val="000000"/>
                <w:sz w:val="20"/>
                <w:szCs w:val="20"/>
              </w:rPr>
              <w:pict>
                <v:shape id="_x0000_i1026" type="#_x0000_t75" style="width:24pt;height:21.75pt">
                  <v:imagedata r:id="rId10" o:title="folder"/>
                </v:shape>
              </w:pict>
            </w:r>
          </w:p>
        </w:tc>
        <w:tc>
          <w:tcPr>
            <w:tcW w:w="9523" w:type="dxa"/>
            <w:tcBorders>
              <w:left w:val="single" w:sz="4" w:space="0" w:color="auto"/>
            </w:tcBorders>
            <w:shd w:val="clear" w:color="auto" w:fill="F79646" w:themeFill="accent6"/>
            <w:vAlign w:val="center"/>
          </w:tcPr>
          <w:p w:rsidR="00591CEE" w:rsidRPr="002608D6" w:rsidRDefault="00934BD4" w:rsidP="00731597">
            <w:pPr>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FD3490">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B7B12" w:rsidRPr="00731597" w:rsidRDefault="002B7B12" w:rsidP="00F16CB5">
      <w:pPr>
        <w:pStyle w:val="ListParagraph"/>
        <w:shd w:val="clear" w:color="auto" w:fill="FFFFFF"/>
        <w:spacing w:after="120" w:line="240" w:lineRule="auto"/>
        <w:ind w:left="994"/>
        <w:rPr>
          <w:rFonts w:ascii="Times New Roman" w:hAnsi="Times New Roman"/>
          <w:b/>
          <w:i/>
          <w:color w:val="000000"/>
          <w:sz w:val="28"/>
          <w:lang w:val="es-PR"/>
        </w:rPr>
      </w:pPr>
    </w:p>
    <w:tbl>
      <w:tblPr>
        <w:tblStyle w:val="MediumGrid1-Accent5"/>
        <w:tblW w:w="0" w:type="auto"/>
        <w:jc w:val="center"/>
        <w:tblLook w:val="04A0" w:firstRow="1" w:lastRow="0" w:firstColumn="1" w:lastColumn="0" w:noHBand="0" w:noVBand="1"/>
      </w:tblPr>
      <w:tblGrid>
        <w:gridCol w:w="8478"/>
      </w:tblGrid>
      <w:tr w:rsidR="002B7B12" w:rsidRPr="000D24B1" w:rsidTr="002B7B12">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shd w:val="clear" w:color="auto" w:fill="548DD4" w:themeFill="text2" w:themeFillTint="99"/>
          </w:tcPr>
          <w:p w:rsidR="002B7B12" w:rsidRPr="00F8171A" w:rsidRDefault="002B7B12" w:rsidP="002B7B12">
            <w:pPr>
              <w:pStyle w:val="ListParagraph"/>
              <w:spacing w:after="0" w:line="240" w:lineRule="auto"/>
              <w:rPr>
                <w:rFonts w:ascii="Times New Roman" w:hAnsi="Times New Roman"/>
                <w:color w:val="000000"/>
                <w:sz w:val="24"/>
                <w:lang w:val="es-PR"/>
              </w:rPr>
            </w:pPr>
            <w:r w:rsidRPr="00731597">
              <w:rPr>
                <w:rFonts w:ascii="Times New Roman" w:hAnsi="Times New Roman"/>
                <w:i/>
                <w:color w:val="000000"/>
                <w:sz w:val="28"/>
                <w:lang w:val="es-PR"/>
              </w:rPr>
              <w:t>Los requisitos para el proceso de Fianza son los siguientes:</w:t>
            </w:r>
          </w:p>
        </w:tc>
      </w:tr>
      <w:tr w:rsidR="00F8171A" w:rsidRPr="000D24B1" w:rsidTr="00F8171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F8171A" w:rsidRDefault="00F8171A" w:rsidP="00AC2B89">
            <w:pPr>
              <w:pStyle w:val="ListParagraph"/>
              <w:numPr>
                <w:ilvl w:val="0"/>
                <w:numId w:val="8"/>
              </w:numPr>
              <w:spacing w:after="0" w:line="240" w:lineRule="auto"/>
              <w:rPr>
                <w:rFonts w:ascii="Times New Roman" w:hAnsi="Times New Roman"/>
                <w:b w:val="0"/>
                <w:color w:val="000000"/>
                <w:sz w:val="24"/>
                <w:lang w:val="es-PR"/>
              </w:rPr>
            </w:pPr>
            <w:r w:rsidRPr="00F8171A">
              <w:rPr>
                <w:rFonts w:ascii="Times New Roman" w:hAnsi="Times New Roman"/>
                <w:b w:val="0"/>
                <w:color w:val="000000"/>
                <w:sz w:val="24"/>
                <w:lang w:val="es-PR"/>
              </w:rPr>
              <w:t>Hacer</w:t>
            </w:r>
            <w:r>
              <w:rPr>
                <w:rFonts w:ascii="Times New Roman" w:hAnsi="Times New Roman"/>
                <w:b w:val="0"/>
                <w:color w:val="000000"/>
                <w:sz w:val="24"/>
                <w:lang w:val="es-PR"/>
              </w:rPr>
              <w:t xml:space="preserve"> una solicitud al Director del Negociado de Impuesto al Consumo.</w:t>
            </w:r>
          </w:p>
        </w:tc>
      </w:tr>
      <w:tr w:rsidR="00F8171A" w:rsidRPr="000D24B1" w:rsidTr="00F8171A">
        <w:trPr>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F8171A" w:rsidRDefault="00F8171A" w:rsidP="00AC2B89">
            <w:pPr>
              <w:pStyle w:val="ListParagraph"/>
              <w:numPr>
                <w:ilvl w:val="0"/>
                <w:numId w:val="8"/>
              </w:numPr>
              <w:spacing w:after="0" w:line="240" w:lineRule="auto"/>
              <w:rPr>
                <w:rFonts w:ascii="Times New Roman" w:hAnsi="Times New Roman"/>
                <w:b w:val="0"/>
                <w:color w:val="000000"/>
                <w:sz w:val="24"/>
                <w:lang w:val="es-PR"/>
              </w:rPr>
            </w:pPr>
            <w:r w:rsidRPr="00F8171A">
              <w:rPr>
                <w:rFonts w:ascii="Times New Roman" w:hAnsi="Times New Roman"/>
                <w:b w:val="0"/>
                <w:color w:val="000000"/>
                <w:sz w:val="24"/>
                <w:lang w:val="es-PR"/>
              </w:rPr>
              <w:t>Indicar la naturaleza del negocio.</w:t>
            </w:r>
          </w:p>
        </w:tc>
      </w:tr>
      <w:tr w:rsidR="00F8171A" w:rsidRPr="000D24B1" w:rsidTr="00F8171A">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F8171A" w:rsidRDefault="00F8171A" w:rsidP="00AC2B89">
            <w:pPr>
              <w:pStyle w:val="ListParagraph"/>
              <w:numPr>
                <w:ilvl w:val="0"/>
                <w:numId w:val="8"/>
              </w:numPr>
              <w:spacing w:after="0" w:line="240" w:lineRule="auto"/>
              <w:rPr>
                <w:rFonts w:ascii="Times New Roman" w:hAnsi="Times New Roman"/>
                <w:b w:val="0"/>
                <w:color w:val="000000"/>
                <w:sz w:val="24"/>
                <w:lang w:val="es-PR"/>
              </w:rPr>
            </w:pPr>
            <w:r w:rsidRPr="00F8171A">
              <w:rPr>
                <w:rFonts w:ascii="Times New Roman" w:hAnsi="Times New Roman"/>
                <w:b w:val="0"/>
                <w:color w:val="000000"/>
                <w:sz w:val="24"/>
                <w:lang w:val="es-PR"/>
              </w:rPr>
              <w:t xml:space="preserve">Estar al día en la radicación de planillas requeridas por el Código. </w:t>
            </w:r>
          </w:p>
        </w:tc>
      </w:tr>
      <w:tr w:rsidR="00F8171A" w:rsidRPr="000D24B1" w:rsidTr="00F8171A">
        <w:trPr>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E1269A" w:rsidRDefault="00F8171A" w:rsidP="00AC2B89">
            <w:pPr>
              <w:pStyle w:val="ListParagraph"/>
              <w:numPr>
                <w:ilvl w:val="0"/>
                <w:numId w:val="8"/>
              </w:numPr>
              <w:spacing w:after="0" w:line="240" w:lineRule="auto"/>
              <w:rPr>
                <w:rFonts w:ascii="Times New Roman" w:hAnsi="Times New Roman"/>
                <w:b w:val="0"/>
                <w:color w:val="000000"/>
                <w:sz w:val="24"/>
                <w:lang w:val="es-PR"/>
              </w:rPr>
            </w:pPr>
            <w:r w:rsidRPr="00E1269A">
              <w:rPr>
                <w:rFonts w:ascii="Times New Roman" w:hAnsi="Times New Roman"/>
                <w:b w:val="0"/>
                <w:color w:val="000000"/>
                <w:sz w:val="24"/>
                <w:lang w:val="es-PR"/>
              </w:rPr>
              <w:t>Estar al día en el pago de con</w:t>
            </w:r>
            <w:r w:rsidR="00E1269A" w:rsidRPr="00E1269A">
              <w:rPr>
                <w:rFonts w:ascii="Times New Roman" w:hAnsi="Times New Roman"/>
                <w:b w:val="0"/>
                <w:color w:val="000000"/>
                <w:sz w:val="24"/>
                <w:lang w:val="es-PR"/>
              </w:rPr>
              <w:t xml:space="preserve">tribuciones con el Departamento. Si tiene deuda, deberá tener un plan de pagos al día y presentar evidencia. </w:t>
            </w:r>
          </w:p>
        </w:tc>
      </w:tr>
      <w:tr w:rsidR="00F8171A" w:rsidRPr="000D24B1" w:rsidTr="00F8171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E1269A" w:rsidRDefault="00E1269A" w:rsidP="00ED6C3B">
            <w:pPr>
              <w:pStyle w:val="ListParagraph"/>
              <w:numPr>
                <w:ilvl w:val="0"/>
                <w:numId w:val="8"/>
              </w:numPr>
              <w:spacing w:after="0" w:line="240" w:lineRule="auto"/>
              <w:rPr>
                <w:rFonts w:ascii="Times New Roman" w:hAnsi="Times New Roman"/>
                <w:b w:val="0"/>
                <w:color w:val="000000"/>
                <w:sz w:val="24"/>
                <w:lang w:val="es-PR"/>
              </w:rPr>
            </w:pPr>
            <w:r w:rsidRPr="00E1269A">
              <w:rPr>
                <w:rFonts w:ascii="Times New Roman" w:hAnsi="Times New Roman"/>
                <w:b w:val="0"/>
                <w:color w:val="000000"/>
                <w:sz w:val="24"/>
                <w:lang w:val="es-PR"/>
              </w:rPr>
              <w:t xml:space="preserve">La fianza </w:t>
            </w:r>
            <w:r>
              <w:rPr>
                <w:rFonts w:ascii="Times New Roman" w:hAnsi="Times New Roman"/>
                <w:b w:val="0"/>
                <w:color w:val="000000"/>
                <w:sz w:val="24"/>
                <w:lang w:val="es-PR"/>
              </w:rPr>
              <w:t>prestada incluirá una cantidad para ga</w:t>
            </w:r>
            <w:r w:rsidR="00ED6C3B">
              <w:rPr>
                <w:rFonts w:ascii="Times New Roman" w:hAnsi="Times New Roman"/>
                <w:b w:val="0"/>
                <w:color w:val="000000"/>
                <w:sz w:val="24"/>
                <w:lang w:val="es-PR"/>
              </w:rPr>
              <w:t>rantizar el pago del impuesto má</w:t>
            </w:r>
            <w:r>
              <w:rPr>
                <w:rFonts w:ascii="Times New Roman" w:hAnsi="Times New Roman"/>
                <w:b w:val="0"/>
                <w:color w:val="000000"/>
                <w:sz w:val="24"/>
                <w:lang w:val="es-PR"/>
              </w:rPr>
              <w:t>s el equivalente al veinticinco (25%) por ciento de la cantidad anterior, para garantizar el pago de cualquier recargo, interés o multa administrativa que se imponga p</w:t>
            </w:r>
            <w:r w:rsidR="002B7B12">
              <w:rPr>
                <w:rFonts w:ascii="Times New Roman" w:hAnsi="Times New Roman"/>
                <w:b w:val="0"/>
                <w:color w:val="000000"/>
                <w:sz w:val="24"/>
                <w:lang w:val="es-PR"/>
              </w:rPr>
              <w:t>or no pagar el impuesto en el té</w:t>
            </w:r>
            <w:r>
              <w:rPr>
                <w:rFonts w:ascii="Times New Roman" w:hAnsi="Times New Roman"/>
                <w:b w:val="0"/>
                <w:color w:val="000000"/>
                <w:sz w:val="24"/>
                <w:lang w:val="es-PR"/>
              </w:rPr>
              <w:t xml:space="preserve">rmino establecido para ello. </w:t>
            </w:r>
            <w:r w:rsidR="00ED6C3B" w:rsidRPr="003A4642">
              <w:rPr>
                <w:rFonts w:ascii="Times New Roman" w:hAnsi="Times New Roman"/>
                <w:sz w:val="24"/>
                <w:lang w:val="es-PR"/>
              </w:rPr>
              <w:t>Ejemplo</w:t>
            </w:r>
            <w:r w:rsidR="00ED6C3B" w:rsidRPr="003A4642">
              <w:rPr>
                <w:rFonts w:ascii="Times New Roman" w:hAnsi="Times New Roman"/>
                <w:b w:val="0"/>
                <w:sz w:val="24"/>
                <w:lang w:val="es-PR"/>
              </w:rPr>
              <w:t>: Si el comerciante posee una fianza de diez mil $(10,000) dólares como principal deberá añadir dos mil quinientos $(2,500) dólares adicionales represent</w:t>
            </w:r>
            <w:r w:rsidR="00ED6C3B">
              <w:rPr>
                <w:rFonts w:ascii="Times New Roman" w:hAnsi="Times New Roman"/>
                <w:b w:val="0"/>
                <w:sz w:val="24"/>
                <w:lang w:val="es-PR"/>
              </w:rPr>
              <w:t>ativos del veinticinco (25) %</w:t>
            </w:r>
            <w:r w:rsidR="00ED6C3B" w:rsidRPr="003A4642">
              <w:rPr>
                <w:rFonts w:ascii="Times New Roman" w:hAnsi="Times New Roman"/>
                <w:b w:val="0"/>
                <w:sz w:val="24"/>
                <w:lang w:val="es-PR"/>
              </w:rPr>
              <w:t>.</w:t>
            </w:r>
            <w:r w:rsidR="00ED6C3B">
              <w:rPr>
                <w:rFonts w:ascii="Times New Roman" w:hAnsi="Times New Roman"/>
                <w:b w:val="0"/>
                <w:sz w:val="24"/>
                <w:lang w:val="es-PR"/>
              </w:rPr>
              <w:t xml:space="preserve"> El sistema refleja la cantidad neta entiéndase los diez mil $ (10,000) dólares. El 25% por ciento de la cantidad neta no se verá en sistema y tampoco se podrá utilizar.</w:t>
            </w:r>
            <w:r w:rsidR="00ED6C3B" w:rsidRPr="003A4642">
              <w:rPr>
                <w:rFonts w:ascii="Times New Roman" w:hAnsi="Times New Roman"/>
                <w:b w:val="0"/>
                <w:sz w:val="24"/>
                <w:lang w:val="es-PR"/>
              </w:rPr>
              <w:t xml:space="preserve"> El pago no podrá realizarse a más tardar del día diez (10) del próximo mes junto con el pago de la Planilla Mensual de Importaciones.  </w:t>
            </w:r>
            <w:r w:rsidR="00ED6C3B" w:rsidRPr="003A4642">
              <w:rPr>
                <w:rFonts w:ascii="Times New Roman" w:hAnsi="Times New Roman"/>
                <w:b w:val="0"/>
                <w:color w:val="000000"/>
                <w:sz w:val="24"/>
                <w:lang w:val="es-PR"/>
              </w:rPr>
              <w:t>El monto de la fianza se rebajará conforme a la contribución adeudada, la cual se utilizará para efectuar un levante o tomar posesión de la propiedad mueble tangible introducida a Puerto Rico.</w:t>
            </w:r>
          </w:p>
        </w:tc>
      </w:tr>
      <w:tr w:rsidR="00F8171A" w:rsidRPr="000D24B1" w:rsidTr="00F8171A">
        <w:trPr>
          <w:trHeight w:val="224"/>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E1269A" w:rsidRDefault="00E1269A" w:rsidP="00AC2B89">
            <w:pPr>
              <w:pStyle w:val="ListParagraph"/>
              <w:numPr>
                <w:ilvl w:val="0"/>
                <w:numId w:val="8"/>
              </w:numPr>
              <w:spacing w:after="0" w:line="240" w:lineRule="auto"/>
              <w:rPr>
                <w:rFonts w:ascii="Times New Roman" w:hAnsi="Times New Roman"/>
                <w:b w:val="0"/>
                <w:color w:val="000000"/>
                <w:sz w:val="24"/>
                <w:lang w:val="es-PR"/>
              </w:rPr>
            </w:pPr>
            <w:r w:rsidRPr="00E1269A">
              <w:rPr>
                <w:rFonts w:ascii="Times New Roman" w:hAnsi="Times New Roman"/>
                <w:b w:val="0"/>
                <w:color w:val="000000"/>
                <w:sz w:val="24"/>
                <w:lang w:val="es-PR"/>
              </w:rPr>
              <w:t>La fianza no será menor de diez mil $(10,000) dólares.</w:t>
            </w:r>
          </w:p>
        </w:tc>
      </w:tr>
      <w:tr w:rsidR="00F8171A" w:rsidRPr="000D24B1" w:rsidTr="00F8171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Default="00E1269A" w:rsidP="00AC2B89">
            <w:pPr>
              <w:pStyle w:val="ListParagraph"/>
              <w:numPr>
                <w:ilvl w:val="0"/>
                <w:numId w:val="8"/>
              </w:numPr>
              <w:spacing w:after="0" w:line="240" w:lineRule="auto"/>
              <w:rPr>
                <w:rFonts w:ascii="Times New Roman" w:hAnsi="Times New Roman"/>
                <w:color w:val="000000"/>
                <w:sz w:val="24"/>
                <w:lang w:val="es-PR"/>
              </w:rPr>
            </w:pPr>
            <w:r w:rsidRPr="00E1269A">
              <w:rPr>
                <w:rFonts w:ascii="Times New Roman" w:hAnsi="Times New Roman"/>
                <w:b w:val="0"/>
                <w:color w:val="000000"/>
                <w:sz w:val="24"/>
                <w:lang w:val="es-PR"/>
              </w:rPr>
              <w:t xml:space="preserve">Una vez presentada la solicitud, el Negociado evaluara la misma y completara el formulario: Fianza para Garantizar el Pago de Impuestos, Multas, Intereses y Penalidades </w:t>
            </w:r>
            <w:r>
              <w:rPr>
                <w:rFonts w:ascii="Times New Roman" w:hAnsi="Times New Roman"/>
                <w:color w:val="000000"/>
                <w:sz w:val="24"/>
                <w:lang w:val="es-PR"/>
              </w:rPr>
              <w:t>(Modelo SC 2058).</w:t>
            </w:r>
          </w:p>
        </w:tc>
      </w:tr>
      <w:tr w:rsidR="00F8171A" w:rsidRPr="000D24B1" w:rsidTr="00F8171A">
        <w:trPr>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F8171A" w:rsidRPr="00E1269A" w:rsidRDefault="00E1269A" w:rsidP="00AC2B89">
            <w:pPr>
              <w:pStyle w:val="ListParagraph"/>
              <w:numPr>
                <w:ilvl w:val="0"/>
                <w:numId w:val="8"/>
              </w:numPr>
              <w:spacing w:after="0" w:line="240" w:lineRule="auto"/>
              <w:rPr>
                <w:rFonts w:ascii="Times New Roman" w:hAnsi="Times New Roman"/>
                <w:b w:val="0"/>
                <w:color w:val="000000"/>
                <w:sz w:val="24"/>
                <w:lang w:val="es-PR"/>
              </w:rPr>
            </w:pPr>
            <w:r w:rsidRPr="00E1269A">
              <w:rPr>
                <w:rFonts w:ascii="Times New Roman" w:hAnsi="Times New Roman"/>
                <w:b w:val="0"/>
                <w:color w:val="000000"/>
                <w:sz w:val="24"/>
                <w:lang w:val="es-PR"/>
              </w:rPr>
              <w:t>Dicho formulario deberá ser firmado por la compañía aseguradora y el fiador, y ser devuelto al Negociado.</w:t>
            </w:r>
          </w:p>
        </w:tc>
      </w:tr>
      <w:tr w:rsidR="00E1269A" w:rsidRPr="000D24B1" w:rsidTr="00F8171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E1269A" w:rsidRPr="00E1269A" w:rsidRDefault="00E1269A" w:rsidP="00AC2B89">
            <w:pPr>
              <w:pStyle w:val="ListParagraph"/>
              <w:numPr>
                <w:ilvl w:val="0"/>
                <w:numId w:val="8"/>
              </w:numPr>
              <w:spacing w:after="0" w:line="240" w:lineRule="auto"/>
              <w:rPr>
                <w:rFonts w:ascii="Times New Roman" w:hAnsi="Times New Roman"/>
                <w:b w:val="0"/>
                <w:color w:val="000000"/>
                <w:sz w:val="24"/>
                <w:lang w:val="es-PR"/>
              </w:rPr>
            </w:pPr>
            <w:r>
              <w:rPr>
                <w:rFonts w:ascii="Times New Roman" w:hAnsi="Times New Roman"/>
                <w:b w:val="0"/>
                <w:color w:val="000000"/>
                <w:sz w:val="24"/>
                <w:lang w:val="es-PR"/>
              </w:rPr>
              <w:t xml:space="preserve">Las fianzas existentes para garantizar el IVU podrán ser modificadas para aumentar la misma. </w:t>
            </w:r>
          </w:p>
        </w:tc>
      </w:tr>
      <w:tr w:rsidR="00E1269A" w:rsidRPr="000D24B1" w:rsidTr="00F8171A">
        <w:trPr>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E1269A" w:rsidRPr="00E1269A" w:rsidRDefault="00E1269A" w:rsidP="00AC2B89">
            <w:pPr>
              <w:pStyle w:val="ListParagraph"/>
              <w:numPr>
                <w:ilvl w:val="0"/>
                <w:numId w:val="8"/>
              </w:numPr>
              <w:spacing w:after="0" w:line="240" w:lineRule="auto"/>
              <w:rPr>
                <w:rFonts w:ascii="Times New Roman" w:hAnsi="Times New Roman"/>
                <w:b w:val="0"/>
                <w:color w:val="000000"/>
                <w:sz w:val="24"/>
                <w:lang w:val="es-PR"/>
              </w:rPr>
            </w:pPr>
            <w:r>
              <w:rPr>
                <w:rFonts w:ascii="Times New Roman" w:hAnsi="Times New Roman"/>
                <w:b w:val="0"/>
                <w:color w:val="000000"/>
                <w:sz w:val="24"/>
                <w:lang w:val="es-PR"/>
              </w:rPr>
              <w:t xml:space="preserve">Es importante señalar, que aquellos comerciantes que tengan una fianza para </w:t>
            </w:r>
            <w:r>
              <w:rPr>
                <w:rFonts w:ascii="Times New Roman" w:hAnsi="Times New Roman"/>
                <w:b w:val="0"/>
                <w:color w:val="000000"/>
                <w:sz w:val="24"/>
                <w:lang w:val="es-PR"/>
              </w:rPr>
              <w:lastRenderedPageBreak/>
              <w:t>arbitrios, deberán obtener otra fianza para el IVU.</w:t>
            </w:r>
          </w:p>
        </w:tc>
      </w:tr>
      <w:tr w:rsidR="00E1269A" w:rsidRPr="000D24B1" w:rsidTr="00F8171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478" w:type="dxa"/>
          </w:tcPr>
          <w:p w:rsidR="00E1269A" w:rsidRPr="00E1269A" w:rsidRDefault="00E1269A" w:rsidP="00AC2B89">
            <w:pPr>
              <w:pStyle w:val="ListParagraph"/>
              <w:numPr>
                <w:ilvl w:val="0"/>
                <w:numId w:val="8"/>
              </w:numPr>
              <w:spacing w:after="0" w:line="240" w:lineRule="auto"/>
              <w:rPr>
                <w:rFonts w:ascii="Times New Roman" w:hAnsi="Times New Roman"/>
                <w:b w:val="0"/>
                <w:color w:val="000000"/>
                <w:sz w:val="24"/>
                <w:lang w:val="es-PR"/>
              </w:rPr>
            </w:pPr>
            <w:r>
              <w:rPr>
                <w:rFonts w:ascii="Times New Roman" w:hAnsi="Times New Roman"/>
                <w:b w:val="0"/>
                <w:color w:val="000000"/>
                <w:sz w:val="24"/>
                <w:lang w:val="es-PR"/>
              </w:rPr>
              <w:lastRenderedPageBreak/>
              <w:t>Para información adicional y otros requisitos refiérase a la CC 14-03.</w:t>
            </w:r>
          </w:p>
        </w:tc>
      </w:tr>
    </w:tbl>
    <w:p w:rsidR="002B7B12" w:rsidRPr="00731597" w:rsidRDefault="002B7B12" w:rsidP="002B7B12">
      <w:pPr>
        <w:pStyle w:val="ListParagraph"/>
        <w:shd w:val="clear" w:color="auto" w:fill="FFFFFF"/>
        <w:spacing w:before="120" w:after="120" w:line="240" w:lineRule="auto"/>
        <w:ind w:left="990"/>
        <w:rPr>
          <w:rFonts w:ascii="Times New Roman" w:hAnsi="Times New Roman"/>
          <w:b/>
          <w:i/>
          <w:color w:val="000000"/>
          <w:sz w:val="28"/>
          <w:lang w:val="es-PR"/>
        </w:rPr>
      </w:pPr>
    </w:p>
    <w:tbl>
      <w:tblPr>
        <w:tblStyle w:val="MediumGrid1-Accent5"/>
        <w:tblW w:w="0" w:type="auto"/>
        <w:tblInd w:w="558" w:type="dxa"/>
        <w:tblLook w:val="04A0" w:firstRow="1" w:lastRow="0" w:firstColumn="1" w:lastColumn="0" w:noHBand="0" w:noVBand="1"/>
      </w:tblPr>
      <w:tblGrid>
        <w:gridCol w:w="8460"/>
      </w:tblGrid>
      <w:tr w:rsidR="002B7B12" w:rsidRPr="000D24B1" w:rsidTr="002B7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shd w:val="clear" w:color="auto" w:fill="548DD4" w:themeFill="text2" w:themeFillTint="99"/>
          </w:tcPr>
          <w:p w:rsidR="002B7B12" w:rsidRPr="002B7B12" w:rsidRDefault="002B7B12" w:rsidP="002B7B12">
            <w:pPr>
              <w:pStyle w:val="ListParagraph"/>
              <w:spacing w:after="0" w:line="240" w:lineRule="auto"/>
              <w:rPr>
                <w:rFonts w:ascii="Times New Roman" w:hAnsi="Times New Roman"/>
                <w:b w:val="0"/>
                <w:color w:val="000000"/>
                <w:sz w:val="24"/>
                <w:lang w:val="es-PR"/>
              </w:rPr>
            </w:pPr>
            <w:r>
              <w:rPr>
                <w:rFonts w:ascii="Times New Roman" w:hAnsi="Times New Roman"/>
                <w:i/>
                <w:color w:val="000000"/>
                <w:sz w:val="28"/>
                <w:lang w:val="es-PR"/>
              </w:rPr>
              <w:t>Información Adicional sobre la Fianza</w:t>
            </w:r>
            <w:r w:rsidRPr="002B3B71">
              <w:rPr>
                <w:rFonts w:ascii="Times New Roman" w:hAnsi="Times New Roman"/>
                <w:b w:val="0"/>
                <w:color w:val="000000"/>
                <w:sz w:val="24"/>
                <w:lang w:val="es-PR"/>
              </w:rPr>
              <w:t xml:space="preserve"> </w:t>
            </w:r>
          </w:p>
        </w:tc>
      </w:tr>
      <w:tr w:rsidR="00731597" w:rsidRPr="000D24B1" w:rsidTr="0073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Pr>
          <w:p w:rsidR="002B3B71" w:rsidRPr="002808B8" w:rsidRDefault="002B3B71" w:rsidP="002808B8">
            <w:pPr>
              <w:pStyle w:val="ListParagraph"/>
              <w:numPr>
                <w:ilvl w:val="0"/>
                <w:numId w:val="9"/>
              </w:numPr>
              <w:spacing w:after="0" w:line="240" w:lineRule="auto"/>
              <w:rPr>
                <w:rFonts w:ascii="Times New Roman" w:hAnsi="Times New Roman"/>
                <w:b w:val="0"/>
                <w:color w:val="000000"/>
                <w:sz w:val="24"/>
                <w:lang w:val="es-PR"/>
              </w:rPr>
            </w:pPr>
            <w:r w:rsidRPr="002B3B71">
              <w:rPr>
                <w:rFonts w:ascii="Times New Roman" w:hAnsi="Times New Roman"/>
                <w:b w:val="0"/>
                <w:color w:val="000000"/>
                <w:sz w:val="24"/>
                <w:lang w:val="es-PR"/>
              </w:rPr>
              <w:t xml:space="preserve">A manera de excepción, </w:t>
            </w:r>
            <w:r>
              <w:rPr>
                <w:rFonts w:ascii="Times New Roman" w:hAnsi="Times New Roman"/>
                <w:b w:val="0"/>
                <w:color w:val="000000"/>
                <w:sz w:val="24"/>
                <w:lang w:val="es-PR"/>
              </w:rPr>
              <w:t>aquellos comerciantes que hayan prestado una fianza para garantizar el pago del IVU</w:t>
            </w:r>
            <w:r w:rsidRPr="002808B8">
              <w:rPr>
                <w:rFonts w:ascii="Times New Roman" w:hAnsi="Times New Roman"/>
                <w:b w:val="0"/>
                <w:color w:val="000000"/>
                <w:sz w:val="24"/>
                <w:lang w:val="es-PR"/>
              </w:rPr>
              <w:t xml:space="preserve">, </w:t>
            </w:r>
            <w:r w:rsidR="002808B8" w:rsidRPr="002808B8">
              <w:rPr>
                <w:rFonts w:ascii="Times New Roman" w:hAnsi="Times New Roman"/>
                <w:b w:val="0"/>
                <w:color w:val="000000"/>
                <w:sz w:val="24"/>
                <w:lang w:val="es-PR"/>
              </w:rPr>
              <w:t>p</w:t>
            </w:r>
            <w:r w:rsidRPr="002808B8">
              <w:rPr>
                <w:rFonts w:ascii="Times New Roman" w:hAnsi="Times New Roman"/>
                <w:b w:val="0"/>
                <w:color w:val="000000"/>
                <w:sz w:val="24"/>
                <w:lang w:val="es-PR"/>
              </w:rPr>
              <w:t>odrán obtener el levante una vez hayan prestado electrónicamente la declaración de los bienes importados.</w:t>
            </w:r>
            <w:r w:rsidRPr="002808B8">
              <w:rPr>
                <w:rFonts w:ascii="Times New Roman" w:hAnsi="Times New Roman"/>
                <w:color w:val="000000"/>
                <w:sz w:val="24"/>
                <w:lang w:val="es-PR"/>
              </w:rPr>
              <w:t xml:space="preserve"> </w:t>
            </w:r>
          </w:p>
        </w:tc>
      </w:tr>
      <w:tr w:rsidR="00731597" w:rsidRPr="000D24B1" w:rsidTr="00731597">
        <w:tc>
          <w:tcPr>
            <w:cnfStyle w:val="001000000000" w:firstRow="0" w:lastRow="0" w:firstColumn="1" w:lastColumn="0" w:oddVBand="0" w:evenVBand="0" w:oddHBand="0" w:evenHBand="0" w:firstRowFirstColumn="0" w:firstRowLastColumn="0" w:lastRowFirstColumn="0" w:lastRowLastColumn="0"/>
            <w:tcW w:w="8460" w:type="dxa"/>
          </w:tcPr>
          <w:p w:rsidR="00731597" w:rsidRPr="002B3B71" w:rsidRDefault="002B3B71" w:rsidP="002B3B71">
            <w:pPr>
              <w:pStyle w:val="ListParagraph"/>
              <w:numPr>
                <w:ilvl w:val="0"/>
                <w:numId w:val="9"/>
              </w:numPr>
              <w:spacing w:after="0" w:line="240" w:lineRule="auto"/>
              <w:rPr>
                <w:rFonts w:ascii="Times New Roman" w:hAnsi="Times New Roman"/>
                <w:b w:val="0"/>
                <w:color w:val="000000"/>
                <w:sz w:val="24"/>
                <w:lang w:val="es-PR"/>
              </w:rPr>
            </w:pPr>
            <w:r w:rsidRPr="002B3B71">
              <w:rPr>
                <w:rFonts w:ascii="Times New Roman" w:hAnsi="Times New Roman"/>
                <w:b w:val="0"/>
                <w:color w:val="000000"/>
                <w:sz w:val="24"/>
                <w:lang w:val="es-PR"/>
              </w:rPr>
              <w:t xml:space="preserve">El Departamento procederá a reducir de la fianza, el monto del impuesto sobre uso correspondiente a la declaración. </w:t>
            </w:r>
          </w:p>
        </w:tc>
      </w:tr>
      <w:tr w:rsidR="00731597" w:rsidRPr="000D24B1" w:rsidTr="0073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Pr>
          <w:p w:rsidR="00731597" w:rsidRPr="00A96F0C" w:rsidRDefault="00CD18A1" w:rsidP="00A96F0C">
            <w:pPr>
              <w:pStyle w:val="ListParagraph"/>
              <w:numPr>
                <w:ilvl w:val="0"/>
                <w:numId w:val="9"/>
              </w:numPr>
              <w:spacing w:after="0" w:line="240" w:lineRule="auto"/>
              <w:rPr>
                <w:rFonts w:ascii="Times New Roman" w:hAnsi="Times New Roman"/>
                <w:b w:val="0"/>
                <w:color w:val="000000"/>
                <w:sz w:val="24"/>
                <w:lang w:val="es-PR"/>
              </w:rPr>
            </w:pPr>
            <w:r w:rsidRPr="00A96F0C">
              <w:rPr>
                <w:rFonts w:ascii="Times New Roman" w:hAnsi="Times New Roman"/>
                <w:b w:val="0"/>
                <w:color w:val="000000"/>
                <w:sz w:val="24"/>
                <w:lang w:val="es-ES"/>
              </w:rPr>
              <w:t>Una vez el comerciante afianzado pague el Impuesto, el Departamento procederá a liberar el monto de la fianza correspondiente al Impuesto pagado, permitiendo así que el comerciante afianzado pueda obtener levantes futuros de Propiedad Importada contra su fianza.</w:t>
            </w:r>
            <w:r w:rsidRPr="00A96F0C">
              <w:rPr>
                <w:rFonts w:ascii="Times New Roman" w:hAnsi="Times New Roman"/>
                <w:b w:val="0"/>
                <w:color w:val="000000"/>
                <w:sz w:val="24"/>
                <w:lang w:val="es-PR"/>
              </w:rPr>
              <w:t xml:space="preserve"> </w:t>
            </w:r>
          </w:p>
        </w:tc>
      </w:tr>
      <w:tr w:rsidR="00731597" w:rsidRPr="000D24B1" w:rsidTr="00731597">
        <w:tc>
          <w:tcPr>
            <w:cnfStyle w:val="001000000000" w:firstRow="0" w:lastRow="0" w:firstColumn="1" w:lastColumn="0" w:oddVBand="0" w:evenVBand="0" w:oddHBand="0" w:evenHBand="0" w:firstRowFirstColumn="0" w:firstRowLastColumn="0" w:lastRowFirstColumn="0" w:lastRowLastColumn="0"/>
            <w:tcW w:w="8460" w:type="dxa"/>
          </w:tcPr>
          <w:p w:rsidR="00731597" w:rsidRPr="00A96F0C" w:rsidRDefault="00CD18A1" w:rsidP="00A96F0C">
            <w:pPr>
              <w:pStyle w:val="ListParagraph"/>
              <w:numPr>
                <w:ilvl w:val="0"/>
                <w:numId w:val="9"/>
              </w:numPr>
              <w:spacing w:after="0" w:line="240" w:lineRule="auto"/>
              <w:rPr>
                <w:rFonts w:ascii="Times New Roman" w:hAnsi="Times New Roman"/>
                <w:b w:val="0"/>
                <w:color w:val="000000"/>
                <w:sz w:val="24"/>
                <w:lang w:val="es-PR"/>
              </w:rPr>
            </w:pPr>
            <w:r w:rsidRPr="00A96F0C">
              <w:rPr>
                <w:rFonts w:ascii="Times New Roman" w:hAnsi="Times New Roman"/>
                <w:b w:val="0"/>
                <w:color w:val="000000"/>
                <w:sz w:val="24"/>
                <w:lang w:val="es-ES"/>
              </w:rPr>
              <w:t>Si el comerciante afianzado no cuenta con la cantidad suficiente de fianza para obtener el levante automático, entonces deberá pagar el total del impuesto sobre uso correspondiente a todos los artículos declarados.</w:t>
            </w:r>
            <w:r w:rsidRPr="00A96F0C">
              <w:rPr>
                <w:rFonts w:ascii="Times New Roman" w:hAnsi="Times New Roman"/>
                <w:b w:val="0"/>
                <w:color w:val="000000"/>
                <w:sz w:val="24"/>
                <w:lang w:val="es-PR"/>
              </w:rPr>
              <w:t xml:space="preserve"> </w:t>
            </w:r>
          </w:p>
        </w:tc>
      </w:tr>
      <w:tr w:rsidR="00731597" w:rsidRPr="000D24B1" w:rsidTr="0073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Pr>
          <w:p w:rsidR="00731597" w:rsidRDefault="00A96F0C" w:rsidP="00A96F0C">
            <w:pPr>
              <w:pStyle w:val="ListParagraph"/>
              <w:numPr>
                <w:ilvl w:val="0"/>
                <w:numId w:val="9"/>
              </w:numPr>
              <w:spacing w:after="0" w:line="240" w:lineRule="auto"/>
              <w:rPr>
                <w:rFonts w:ascii="Times New Roman" w:hAnsi="Times New Roman"/>
                <w:color w:val="000000"/>
                <w:sz w:val="24"/>
                <w:lang w:val="es-PR"/>
              </w:rPr>
            </w:pPr>
            <w:r w:rsidRPr="00A96F0C">
              <w:rPr>
                <w:rFonts w:ascii="Times New Roman" w:hAnsi="Times New Roman"/>
                <w:b w:val="0"/>
                <w:color w:val="000000"/>
                <w:sz w:val="24"/>
                <w:lang w:val="es-PR"/>
              </w:rPr>
              <w:t xml:space="preserve">El importador Afianzado podrá restablecer la Fianza, emitiendo el pago de la Declaración seleccionando en el encasillado de </w:t>
            </w:r>
            <w:r w:rsidRPr="00A96F0C">
              <w:rPr>
                <w:rFonts w:ascii="Times New Roman" w:hAnsi="Times New Roman"/>
                <w:color w:val="000000"/>
                <w:sz w:val="24"/>
                <w:lang w:val="es-PR"/>
              </w:rPr>
              <w:t>“A</w:t>
            </w:r>
            <w:r>
              <w:rPr>
                <w:rFonts w:ascii="Times New Roman" w:hAnsi="Times New Roman"/>
                <w:color w:val="000000"/>
                <w:sz w:val="24"/>
                <w:lang w:val="es-PR"/>
              </w:rPr>
              <w:t>cciones” el símbolo de dólar ($).</w:t>
            </w:r>
          </w:p>
        </w:tc>
      </w:tr>
      <w:tr w:rsidR="00731597" w:rsidRPr="000D24B1" w:rsidTr="00731597">
        <w:tc>
          <w:tcPr>
            <w:cnfStyle w:val="001000000000" w:firstRow="0" w:lastRow="0" w:firstColumn="1" w:lastColumn="0" w:oddVBand="0" w:evenVBand="0" w:oddHBand="0" w:evenHBand="0" w:firstRowFirstColumn="0" w:firstRowLastColumn="0" w:lastRowFirstColumn="0" w:lastRowLastColumn="0"/>
            <w:tcW w:w="8460" w:type="dxa"/>
          </w:tcPr>
          <w:p w:rsidR="003A4642" w:rsidRPr="003A4642" w:rsidRDefault="00A96F0C" w:rsidP="003A4642">
            <w:pPr>
              <w:pStyle w:val="ListParagraph"/>
              <w:numPr>
                <w:ilvl w:val="0"/>
                <w:numId w:val="9"/>
              </w:numPr>
              <w:spacing w:after="0" w:line="240" w:lineRule="auto"/>
              <w:rPr>
                <w:rFonts w:ascii="Times New Roman" w:hAnsi="Times New Roman"/>
                <w:b w:val="0"/>
                <w:color w:val="000000"/>
                <w:sz w:val="24"/>
                <w:lang w:val="es-PR"/>
              </w:rPr>
            </w:pPr>
            <w:r w:rsidRPr="00A96F0C">
              <w:rPr>
                <w:rFonts w:ascii="Times New Roman" w:hAnsi="Times New Roman"/>
                <w:b w:val="0"/>
                <w:color w:val="000000"/>
                <w:sz w:val="24"/>
                <w:lang w:val="es-PR"/>
              </w:rPr>
              <w:t xml:space="preserve">Esta acción la puede ejecutar antes de la radicación y el pago de la Planilla Mensual de Importaciones. </w:t>
            </w:r>
          </w:p>
        </w:tc>
      </w:tr>
      <w:tr w:rsidR="003A4642" w:rsidRPr="000D24B1" w:rsidTr="0073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Pr>
          <w:p w:rsidR="003A4642" w:rsidRPr="00A96F0C" w:rsidRDefault="00CC1845" w:rsidP="000407F3">
            <w:pPr>
              <w:pStyle w:val="ListParagraph"/>
              <w:numPr>
                <w:ilvl w:val="0"/>
                <w:numId w:val="9"/>
              </w:numPr>
              <w:spacing w:after="0" w:line="240" w:lineRule="auto"/>
              <w:rPr>
                <w:rFonts w:ascii="Times New Roman" w:hAnsi="Times New Roman"/>
                <w:color w:val="000000"/>
                <w:sz w:val="24"/>
                <w:lang w:val="es-PR"/>
              </w:rPr>
            </w:pPr>
            <w:r>
              <w:rPr>
                <w:rFonts w:ascii="Times New Roman" w:hAnsi="Times New Roman"/>
                <w:b w:val="0"/>
                <w:color w:val="000000"/>
                <w:sz w:val="24"/>
                <w:lang w:val="es-PR"/>
              </w:rPr>
              <w:t xml:space="preserve">La fianza tiene </w:t>
            </w:r>
            <w:r w:rsidR="000407F3">
              <w:rPr>
                <w:rFonts w:ascii="Times New Roman" w:hAnsi="Times New Roman"/>
                <w:b w:val="0"/>
                <w:color w:val="000000"/>
                <w:sz w:val="24"/>
                <w:lang w:val="es-PR"/>
              </w:rPr>
              <w:t>vigencia</w:t>
            </w:r>
            <w:r>
              <w:rPr>
                <w:rFonts w:ascii="Times New Roman" w:hAnsi="Times New Roman"/>
                <w:b w:val="0"/>
                <w:color w:val="000000"/>
                <w:sz w:val="24"/>
                <w:lang w:val="es-PR"/>
              </w:rPr>
              <w:t xml:space="preserve"> de un año.</w:t>
            </w:r>
            <w:r w:rsidR="000407F3">
              <w:rPr>
                <w:rFonts w:ascii="Times New Roman" w:hAnsi="Times New Roman"/>
                <w:b w:val="0"/>
                <w:color w:val="000000"/>
                <w:sz w:val="24"/>
                <w:lang w:val="es-PR"/>
              </w:rPr>
              <w:t xml:space="preserve"> De no utilizarse en ese año el contribuyente debe completar un documento para reinstalar la fianza para el próximo año. El documento estará disponible en el Negociado de Impuesto al Consumo en el Mercantil Plaza.</w:t>
            </w:r>
          </w:p>
        </w:tc>
      </w:tr>
    </w:tbl>
    <w:p w:rsidR="00A96F0C" w:rsidRPr="00731597" w:rsidRDefault="00A96F0C" w:rsidP="00731597">
      <w:pPr>
        <w:pStyle w:val="ListParagraph"/>
        <w:shd w:val="clear" w:color="auto" w:fill="FFFFFF"/>
        <w:spacing w:after="0" w:line="240" w:lineRule="auto"/>
        <w:ind w:left="990"/>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0D24B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FD349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FD3490">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FD3490" w:rsidRPr="00FD3490" w:rsidRDefault="0027411B" w:rsidP="00FD3490">
      <w:pPr>
        <w:pStyle w:val="ListParagraph"/>
        <w:numPr>
          <w:ilvl w:val="0"/>
          <w:numId w:val="7"/>
        </w:numPr>
        <w:shd w:val="clear" w:color="auto" w:fill="FFFFFF"/>
        <w:spacing w:before="120" w:after="120" w:line="240" w:lineRule="auto"/>
        <w:ind w:left="990" w:hanging="450"/>
        <w:rPr>
          <w:rFonts w:ascii="Times New Roman" w:hAnsi="Times New Roman"/>
          <w:color w:val="000000"/>
          <w:sz w:val="24"/>
          <w:lang w:val="es-PR"/>
        </w:rPr>
      </w:pPr>
      <w:hyperlink r:id="rId12" w:history="1">
        <w:r w:rsidR="00FD3490" w:rsidRPr="00F80B6F">
          <w:rPr>
            <w:rStyle w:val="Hyperlink"/>
            <w:rFonts w:ascii="Times New Roman" w:hAnsi="Times New Roman"/>
            <w:sz w:val="24"/>
            <w:lang w:val="es-ES"/>
          </w:rPr>
          <w:t>Código de Rentas Internas para un Nuevos Puerto Rico 2011</w:t>
        </w:r>
      </w:hyperlink>
      <w:r w:rsidR="00FD3490">
        <w:rPr>
          <w:rFonts w:ascii="Times New Roman" w:hAnsi="Times New Roman"/>
          <w:sz w:val="24"/>
          <w:lang w:val="es-ES"/>
        </w:rPr>
        <w:t xml:space="preserve"> </w:t>
      </w:r>
    </w:p>
    <w:p w:rsidR="005D231D" w:rsidRPr="00FD3490" w:rsidRDefault="00FD3490" w:rsidP="00FD3490">
      <w:pPr>
        <w:pStyle w:val="ListParagraph"/>
        <w:numPr>
          <w:ilvl w:val="0"/>
          <w:numId w:val="7"/>
        </w:numPr>
        <w:shd w:val="clear" w:color="auto" w:fill="FFFFFF"/>
        <w:spacing w:before="120" w:after="120" w:line="240" w:lineRule="auto"/>
        <w:ind w:left="990" w:hanging="450"/>
        <w:rPr>
          <w:rFonts w:ascii="Times New Roman" w:hAnsi="Times New Roman"/>
          <w:color w:val="000000"/>
          <w:sz w:val="24"/>
          <w:lang w:val="es-PR"/>
        </w:rPr>
      </w:pPr>
      <w:r w:rsidRPr="00FD3490">
        <w:rPr>
          <w:rFonts w:ascii="Times New Roman" w:hAnsi="Times New Roman"/>
          <w:color w:val="000000"/>
          <w:sz w:val="24"/>
          <w:lang w:val="es-ES"/>
        </w:rPr>
        <w:t>Sección 4042.03(c)</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0D24B1"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7411B" w:rsidP="00934BD4">
            <w:pPr>
              <w:pStyle w:val="NormalWeb"/>
              <w:rPr>
                <w:rFonts w:ascii="Verdana" w:hAnsi="Verdana" w:cs="Arial"/>
                <w:color w:val="000000"/>
                <w:sz w:val="20"/>
                <w:szCs w:val="20"/>
                <w:lang w:val="es-PR"/>
              </w:rPr>
            </w:pPr>
            <w:r>
              <w:rPr>
                <w:rFonts w:ascii="Arial" w:hAnsi="Arial" w:cs="Arial"/>
                <w:noProof/>
                <w:sz w:val="20"/>
                <w:szCs w:val="20"/>
              </w:rPr>
              <w:pict>
                <v:shape id="_x0000_i1027"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FD3490">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0407F3" w:rsidRPr="00E31340" w:rsidRDefault="00B02C4A" w:rsidP="000407F3">
      <w:pPr>
        <w:pStyle w:val="ListParagraph"/>
        <w:numPr>
          <w:ilvl w:val="0"/>
          <w:numId w:val="7"/>
        </w:numPr>
        <w:shd w:val="clear" w:color="auto" w:fill="FFFFFF"/>
        <w:spacing w:before="120" w:after="120" w:line="240" w:lineRule="auto"/>
        <w:ind w:left="990" w:hanging="450"/>
        <w:rPr>
          <w:rFonts w:ascii="Times New Roman" w:hAnsi="Times New Roman"/>
          <w:b/>
          <w:i/>
          <w:color w:val="000000"/>
          <w:sz w:val="28"/>
          <w:lang w:val="es-PR"/>
        </w:rPr>
      </w:pPr>
      <w:r>
        <w:rPr>
          <w:rFonts w:ascii="Times New Roman" w:hAnsi="Times New Roman"/>
          <w:color w:val="000000"/>
          <w:sz w:val="24"/>
          <w:lang w:val="es-PR"/>
        </w:rPr>
        <w:t>No aplica.</w:t>
      </w:r>
      <w:r w:rsidR="002B7B12" w:rsidRPr="002B7B12">
        <w:rPr>
          <w:rFonts w:ascii="Times New Roman" w:hAnsi="Times New Roman"/>
          <w:b/>
          <w:i/>
          <w:color w:val="000000"/>
          <w:sz w:val="28"/>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0D24B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7411B" w:rsidP="00F3589A">
            <w:pPr>
              <w:pStyle w:val="NormalWeb"/>
              <w:rPr>
                <w:rFonts w:ascii="Verdana" w:hAnsi="Verdana" w:cs="Arial"/>
                <w:color w:val="000000"/>
                <w:sz w:val="20"/>
                <w:szCs w:val="20"/>
                <w:lang w:val="es-PR"/>
              </w:rPr>
            </w:pPr>
            <w:r>
              <w:rPr>
                <w:rFonts w:ascii="Verdana" w:hAnsi="Verdana" w:cs="Arial"/>
                <w:noProof/>
                <w:color w:val="000000"/>
                <w:sz w:val="20"/>
                <w:szCs w:val="20"/>
              </w:rPr>
              <w:pict>
                <v:shape id="_x0000_i1028"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F84D6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Ubicación y </w:t>
            </w:r>
            <w:r w:rsidR="00FD3490">
              <w:rPr>
                <w:rFonts w:ascii="Times New Roman" w:eastAsiaTheme="minorHAnsi" w:hAnsi="Times New Roman"/>
                <w:b/>
                <w:sz w:val="28"/>
                <w:szCs w:val="28"/>
                <w:lang w:val="es-PR"/>
              </w:rPr>
              <w:t>horario de s</w:t>
            </w:r>
            <w:r w:rsidR="00934BD4" w:rsidRPr="002608D6">
              <w:rPr>
                <w:rFonts w:ascii="Times New Roman" w:eastAsiaTheme="minorHAnsi" w:hAnsi="Times New Roman"/>
                <w:b/>
                <w:sz w:val="28"/>
                <w:szCs w:val="28"/>
                <w:lang w:val="es-PR"/>
              </w:rPr>
              <w:t>ervicio</w:t>
            </w:r>
          </w:p>
        </w:tc>
      </w:tr>
    </w:tbl>
    <w:p w:rsidR="000407F3" w:rsidRPr="008D592C" w:rsidRDefault="000407F3" w:rsidP="00FD3490">
      <w:pPr>
        <w:pStyle w:val="Default"/>
        <w:numPr>
          <w:ilvl w:val="0"/>
          <w:numId w:val="1"/>
        </w:numPr>
        <w:adjustRightInd w:val="0"/>
        <w:spacing w:before="120"/>
        <w:ind w:left="907"/>
        <w:rPr>
          <w:lang w:val="es-PR"/>
        </w:rPr>
      </w:pPr>
      <w:r w:rsidRPr="008D592C">
        <w:rPr>
          <w:b/>
          <w:bCs/>
          <w:lang w:val="es-PR"/>
        </w:rPr>
        <w:t xml:space="preserve">Lugar: </w:t>
      </w:r>
      <w:r>
        <w:rPr>
          <w:b/>
          <w:bCs/>
          <w:lang w:val="es-PR"/>
        </w:rPr>
        <w:t xml:space="preserve">     </w:t>
      </w:r>
      <w:r>
        <w:rPr>
          <w:lang w:val="es-PR"/>
        </w:rPr>
        <w:t>Edificio Mercantil Plaza Piso 1, Oficina de Imposición</w:t>
      </w:r>
    </w:p>
    <w:p w:rsidR="000407F3" w:rsidRPr="008D592C" w:rsidRDefault="000407F3" w:rsidP="000407F3">
      <w:pPr>
        <w:pStyle w:val="Default"/>
        <w:ind w:left="900"/>
        <w:rPr>
          <w:lang w:val="es-PR"/>
        </w:rPr>
      </w:pPr>
      <w:r w:rsidRPr="008D592C">
        <w:rPr>
          <w:lang w:val="es-PR"/>
        </w:rPr>
        <w:t xml:space="preserve"> </w:t>
      </w:r>
      <w:r>
        <w:rPr>
          <w:lang w:val="es-PR"/>
        </w:rPr>
        <w:t xml:space="preserve"> </w:t>
      </w:r>
      <w:r>
        <w:rPr>
          <w:lang w:val="es-PR"/>
        </w:rPr>
        <w:tab/>
        <w:t xml:space="preserve">         </w:t>
      </w:r>
      <w:r w:rsidRPr="008D592C">
        <w:rPr>
          <w:lang w:val="es-PR"/>
        </w:rPr>
        <w:t xml:space="preserve">Ponce de León Ave. 255, </w:t>
      </w:r>
    </w:p>
    <w:p w:rsidR="000407F3" w:rsidRDefault="000407F3" w:rsidP="000407F3">
      <w:pPr>
        <w:pStyle w:val="Default"/>
        <w:ind w:left="900"/>
        <w:rPr>
          <w:lang w:val="es-PR"/>
        </w:rPr>
      </w:pPr>
      <w:r>
        <w:rPr>
          <w:lang w:val="es-PR"/>
        </w:rPr>
        <w:t xml:space="preserve">                  </w:t>
      </w:r>
      <w:r w:rsidRPr="008D592C">
        <w:rPr>
          <w:lang w:val="es-PR"/>
        </w:rPr>
        <w:t xml:space="preserve">Parada 27 ½, 00918 San Juan </w:t>
      </w:r>
    </w:p>
    <w:p w:rsidR="000407F3" w:rsidRPr="008D592C" w:rsidRDefault="000407F3" w:rsidP="000407F3">
      <w:pPr>
        <w:pStyle w:val="Default"/>
        <w:ind w:left="900"/>
        <w:rPr>
          <w:lang w:val="es-PR"/>
        </w:rPr>
      </w:pPr>
    </w:p>
    <w:p w:rsidR="000407F3" w:rsidRPr="008D592C" w:rsidRDefault="000407F3" w:rsidP="000407F3">
      <w:pPr>
        <w:pStyle w:val="Default"/>
        <w:numPr>
          <w:ilvl w:val="0"/>
          <w:numId w:val="1"/>
        </w:numPr>
        <w:adjustRightInd w:val="0"/>
        <w:rPr>
          <w:lang w:val="es-PR"/>
        </w:rPr>
      </w:pPr>
      <w:r w:rsidRPr="008D592C">
        <w:rPr>
          <w:b/>
          <w:bCs/>
          <w:lang w:val="es-PR"/>
        </w:rPr>
        <w:t xml:space="preserve">Horario: </w:t>
      </w:r>
      <w:r>
        <w:rPr>
          <w:b/>
          <w:bCs/>
          <w:lang w:val="es-PR"/>
        </w:rPr>
        <w:t xml:space="preserve">  </w:t>
      </w:r>
      <w:r w:rsidRPr="008D592C">
        <w:rPr>
          <w:lang w:val="es-PR"/>
        </w:rPr>
        <w:t xml:space="preserve">Lunes a Viernes </w:t>
      </w:r>
    </w:p>
    <w:p w:rsidR="000407F3" w:rsidRDefault="000407F3" w:rsidP="000407F3">
      <w:pPr>
        <w:pStyle w:val="Default"/>
        <w:ind w:left="1440"/>
        <w:rPr>
          <w:lang w:val="es-PR"/>
        </w:rPr>
      </w:pPr>
      <w:r w:rsidRPr="008D592C">
        <w:rPr>
          <w:lang w:val="es-PR"/>
        </w:rPr>
        <w:t xml:space="preserve">       </w:t>
      </w:r>
      <w:r>
        <w:rPr>
          <w:lang w:val="es-PR"/>
        </w:rPr>
        <w:t xml:space="preserve">  </w:t>
      </w:r>
      <w:r w:rsidRPr="008D592C">
        <w:rPr>
          <w:lang w:val="es-PR"/>
        </w:rPr>
        <w:t xml:space="preserve">8:00 am-3:30 pm </w:t>
      </w:r>
    </w:p>
    <w:p w:rsidR="000407F3" w:rsidRPr="008D592C" w:rsidRDefault="000407F3" w:rsidP="000407F3">
      <w:pPr>
        <w:pStyle w:val="Default"/>
        <w:ind w:left="1440"/>
        <w:rPr>
          <w:lang w:val="es-PR"/>
        </w:rPr>
      </w:pPr>
    </w:p>
    <w:p w:rsidR="000407F3" w:rsidRPr="008D592C" w:rsidRDefault="000407F3" w:rsidP="000407F3">
      <w:pPr>
        <w:pStyle w:val="Default"/>
        <w:numPr>
          <w:ilvl w:val="0"/>
          <w:numId w:val="1"/>
        </w:numPr>
        <w:adjustRightInd w:val="0"/>
        <w:rPr>
          <w:lang w:val="es-PR"/>
        </w:rPr>
      </w:pPr>
      <w:r w:rsidRPr="008D592C">
        <w:rPr>
          <w:b/>
          <w:bCs/>
          <w:lang w:val="es-PR"/>
        </w:rPr>
        <w:t xml:space="preserve">Teléfono: </w:t>
      </w:r>
      <w:r>
        <w:rPr>
          <w:b/>
          <w:bCs/>
          <w:lang w:val="es-PR"/>
        </w:rPr>
        <w:t xml:space="preserve"> </w:t>
      </w:r>
      <w:r w:rsidRPr="008D592C">
        <w:rPr>
          <w:lang w:val="es-PR"/>
        </w:rPr>
        <w:t xml:space="preserve">(787) 200-7310 </w:t>
      </w:r>
    </w:p>
    <w:p w:rsidR="000407F3" w:rsidRDefault="000407F3" w:rsidP="000407F3">
      <w:pPr>
        <w:pStyle w:val="Default"/>
        <w:ind w:left="900"/>
      </w:pPr>
      <w:r w:rsidRPr="008D592C">
        <w:rPr>
          <w:lang w:val="es-PR"/>
        </w:rPr>
        <w:t xml:space="preserve">                </w:t>
      </w:r>
      <w:r>
        <w:rPr>
          <w:lang w:val="es-PR"/>
        </w:rPr>
        <w:t xml:space="preserve"> </w:t>
      </w:r>
      <w:r w:rsidRPr="008D592C">
        <w:rPr>
          <w:lang w:val="es-PR"/>
        </w:rPr>
        <w:t xml:space="preserve"> (787) </w:t>
      </w:r>
      <w:r w:rsidRPr="008D592C">
        <w:t xml:space="preserve">200-7311 </w:t>
      </w:r>
    </w:p>
    <w:p w:rsidR="000407F3" w:rsidRPr="008D592C" w:rsidRDefault="000407F3" w:rsidP="000407F3">
      <w:pPr>
        <w:pStyle w:val="Default"/>
        <w:ind w:left="900"/>
      </w:pPr>
    </w:p>
    <w:p w:rsidR="000407F3" w:rsidRDefault="000407F3" w:rsidP="000407F3">
      <w:pPr>
        <w:pStyle w:val="Default"/>
        <w:numPr>
          <w:ilvl w:val="0"/>
          <w:numId w:val="1"/>
        </w:numPr>
        <w:adjustRightInd w:val="0"/>
      </w:pPr>
      <w:r w:rsidRPr="008D592C">
        <w:rPr>
          <w:b/>
          <w:bCs/>
        </w:rPr>
        <w:t xml:space="preserve">Fax: </w:t>
      </w:r>
      <w:r>
        <w:rPr>
          <w:b/>
          <w:bCs/>
        </w:rPr>
        <w:t xml:space="preserve">         </w:t>
      </w:r>
      <w:r w:rsidRPr="008D592C">
        <w:t>(787) 200-9574</w:t>
      </w:r>
    </w:p>
    <w:p w:rsidR="000407F3" w:rsidRPr="008D592C" w:rsidRDefault="000407F3" w:rsidP="00E31340">
      <w:pPr>
        <w:pStyle w:val="Default"/>
      </w:pPr>
    </w:p>
    <w:p w:rsidR="000407F3" w:rsidRPr="001A0C2B" w:rsidRDefault="0027411B" w:rsidP="000407F3">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5" w:history="1">
        <w:r w:rsidR="000407F3" w:rsidRPr="001A0C2B">
          <w:rPr>
            <w:rStyle w:val="Hyperlink"/>
            <w:rFonts w:ascii="Times New Roman" w:hAnsi="Times New Roman"/>
            <w:sz w:val="24"/>
            <w:lang w:val="es-PR"/>
          </w:rPr>
          <w:t>Directorio de Colecturía</w:t>
        </w:r>
      </w:hyperlink>
    </w:p>
    <w:p w:rsidR="000407F3" w:rsidRPr="001A0C2B" w:rsidRDefault="0027411B" w:rsidP="000407F3">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6" w:history="1">
        <w:r w:rsidR="000407F3" w:rsidRPr="001A0C2B">
          <w:rPr>
            <w:rStyle w:val="Hyperlink"/>
            <w:rFonts w:ascii="Times New Roman" w:hAnsi="Times New Roman"/>
            <w:sz w:val="24"/>
            <w:lang w:val="es-PR"/>
          </w:rPr>
          <w:t>Directorio de Distritos de Cobro</w:t>
        </w:r>
      </w:hyperlink>
    </w:p>
    <w:p w:rsidR="000407F3" w:rsidRPr="001A0C2B" w:rsidRDefault="0027411B" w:rsidP="000407F3">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7" w:history="1">
        <w:r w:rsidR="000407F3" w:rsidRPr="001A0C2B">
          <w:rPr>
            <w:rStyle w:val="Hyperlink"/>
            <w:rFonts w:ascii="Times New Roman" w:hAnsi="Times New Roman"/>
            <w:sz w:val="24"/>
            <w:lang w:val="es-PR"/>
          </w:rPr>
          <w:t>Directorio de Centros de Servicio</w:t>
        </w:r>
      </w:hyperlink>
    </w:p>
    <w:p w:rsidR="006226DD" w:rsidRPr="000407F3" w:rsidRDefault="0027411B" w:rsidP="00FD3490">
      <w:pPr>
        <w:pStyle w:val="ListParagraph"/>
        <w:numPr>
          <w:ilvl w:val="0"/>
          <w:numId w:val="2"/>
        </w:numPr>
        <w:shd w:val="clear" w:color="auto" w:fill="FFFFFF"/>
        <w:spacing w:before="120" w:after="120" w:line="240" w:lineRule="auto"/>
        <w:ind w:left="907"/>
        <w:rPr>
          <w:rFonts w:ascii="Times New Roman" w:hAnsi="Times New Roman"/>
          <w:color w:val="000000"/>
          <w:sz w:val="24"/>
          <w:lang w:val="es-PR"/>
        </w:rPr>
      </w:pPr>
      <w:hyperlink r:id="rId18" w:history="1">
        <w:r w:rsidR="000407F3"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E5F9F" w:rsidRPr="00C268D9" w:rsidTr="009C5B4F">
        <w:trPr>
          <w:trHeight w:val="468"/>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27411B">
              <w:rPr>
                <w:rFonts w:ascii="Verdana" w:hAnsi="Verdana" w:cs="Arial"/>
                <w:noProof/>
                <w:color w:val="000000"/>
                <w:sz w:val="20"/>
                <w:szCs w:val="20"/>
              </w:rPr>
              <w:pict>
                <v:shape id="_x0000_i1029"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FD3490"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6596F" w:rsidRPr="00FD3490" w:rsidRDefault="0027411B" w:rsidP="006226DD">
      <w:pPr>
        <w:pStyle w:val="ListParagraph"/>
        <w:numPr>
          <w:ilvl w:val="0"/>
          <w:numId w:val="4"/>
        </w:numPr>
        <w:spacing w:before="120" w:after="120" w:line="240" w:lineRule="auto"/>
        <w:ind w:left="900"/>
        <w:rPr>
          <w:rFonts w:ascii="Times New Roman" w:hAnsi="Times New Roman"/>
          <w:color w:val="17365D" w:themeColor="text2" w:themeShade="BF"/>
          <w:sz w:val="28"/>
          <w:lang w:val="es-PR"/>
        </w:rPr>
      </w:pPr>
      <w:hyperlink r:id="rId20" w:history="1">
        <w:r w:rsidR="006226DD" w:rsidRPr="0047480F">
          <w:rPr>
            <w:rStyle w:val="Hyperlink"/>
            <w:rFonts w:ascii="Times New Roman" w:eastAsia="Times New Roman" w:hAnsi="Times New Roman"/>
            <w:sz w:val="24"/>
            <w:bdr w:val="none" w:sz="0" w:space="0" w:color="auto" w:frame="1"/>
            <w:lang w:val="es-PR"/>
          </w:rPr>
          <w:t>Carta Circular 14-03 de 27 de junio de 2014 (CC-14-03)</w:t>
        </w:r>
      </w:hyperlink>
    </w:p>
    <w:p w:rsidR="00FD3490" w:rsidRPr="00FD3490" w:rsidRDefault="0027411B" w:rsidP="00FD3490">
      <w:pPr>
        <w:pStyle w:val="ListParagraph"/>
        <w:numPr>
          <w:ilvl w:val="0"/>
          <w:numId w:val="4"/>
        </w:numPr>
        <w:spacing w:before="120" w:after="120" w:line="240" w:lineRule="auto"/>
        <w:ind w:left="900"/>
        <w:rPr>
          <w:rFonts w:ascii="Times New Roman" w:hAnsi="Times New Roman"/>
          <w:color w:val="17365D" w:themeColor="text2" w:themeShade="BF"/>
          <w:sz w:val="24"/>
          <w:lang w:val="es-PR"/>
        </w:rPr>
      </w:pPr>
      <w:hyperlink r:id="rId21" w:history="1">
        <w:r w:rsidR="00FD3490" w:rsidRPr="000245AB">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FD3490"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47480F" w:rsidRDefault="0047480F" w:rsidP="00F16CB5">
      <w:pPr>
        <w:pStyle w:val="Default"/>
        <w:numPr>
          <w:ilvl w:val="0"/>
          <w:numId w:val="1"/>
        </w:numPr>
        <w:spacing w:before="120"/>
        <w:ind w:left="907"/>
        <w:rPr>
          <w:color w:val="auto"/>
          <w:lang w:val="es-PR"/>
        </w:rPr>
      </w:pPr>
      <w:r>
        <w:rPr>
          <w:b/>
          <w:bCs/>
          <w:color w:val="auto"/>
          <w:lang w:val="es-PR"/>
        </w:rPr>
        <w:t xml:space="preserve">¿Es obligatorio tener una fianza? ¿Para qué sirve la fianza? </w:t>
      </w:r>
    </w:p>
    <w:p w:rsidR="0047480F" w:rsidRDefault="0047480F" w:rsidP="0047480F">
      <w:pPr>
        <w:pStyle w:val="Default"/>
        <w:ind w:left="900"/>
        <w:rPr>
          <w:color w:val="auto"/>
          <w:lang w:val="es-PR"/>
        </w:rPr>
      </w:pPr>
      <w:r>
        <w:rPr>
          <w:color w:val="auto"/>
          <w:lang w:val="es-PR"/>
        </w:rPr>
        <w:t xml:space="preserve">No es obligatorio tener una fianza. La fianza permite prorrogar el pago del IVU hasta el día diez (10) del mes siguiente, el cual realizará en conjunto con la Planilla Mensual de Importaciones para Uso. </w:t>
      </w:r>
    </w:p>
    <w:p w:rsidR="00976767" w:rsidRPr="00FD3490" w:rsidRDefault="0047480F" w:rsidP="00FD3490">
      <w:pPr>
        <w:pStyle w:val="Default"/>
        <w:numPr>
          <w:ilvl w:val="0"/>
          <w:numId w:val="1"/>
        </w:numPr>
        <w:rPr>
          <w:color w:val="auto"/>
          <w:lang w:val="es-PR"/>
        </w:rPr>
      </w:pPr>
      <w:r>
        <w:rPr>
          <w:b/>
          <w:bCs/>
          <w:color w:val="auto"/>
          <w:lang w:val="es-PR"/>
        </w:rPr>
        <w:t xml:space="preserve">Soy un comerciante que traigo mercancía que está sujeta al IVU y otra a arbitrios y en algunos casos traigo mercancía que está sujeta a ambos impuestos. Solo tengo fianza para arbitrios. ¿Puedo utilizar la fianza de arbitrios para cubrir toda mi mercancía o necesito tener una fianza para cada concepto? </w:t>
      </w:r>
      <w:r w:rsidRPr="0047480F">
        <w:rPr>
          <w:lang w:val="es-PR"/>
        </w:rPr>
        <w:t>Necesita tener dos fianzas, una para el IVU y otra para arbitrios.</w:t>
      </w:r>
    </w:p>
    <w:sectPr w:rsidR="00976767" w:rsidRPr="00FD3490" w:rsidSect="00BC1E92">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D4" w:rsidRDefault="00F061D4" w:rsidP="005501A9">
      <w:pPr>
        <w:spacing w:after="0" w:line="240" w:lineRule="auto"/>
      </w:pPr>
      <w:r>
        <w:separator/>
      </w:r>
    </w:p>
  </w:endnote>
  <w:endnote w:type="continuationSeparator" w:id="0">
    <w:p w:rsidR="00F061D4" w:rsidRDefault="00F061D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1" w:rsidRDefault="000D2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2A7BAE" w:rsidRPr="000D24B1">
      <w:tc>
        <w:tcPr>
          <w:tcW w:w="918" w:type="dxa"/>
        </w:tcPr>
        <w:p w:rsidR="002A7BAE" w:rsidRPr="002A7BAE" w:rsidRDefault="002A7BAE">
          <w:pPr>
            <w:pStyle w:val="Footer"/>
            <w:jc w:val="right"/>
            <w:rPr>
              <w:rFonts w:ascii="Times New Roman" w:hAnsi="Times New Roman"/>
              <w:b/>
              <w:sz w:val="24"/>
              <w:szCs w:val="24"/>
            </w:rPr>
          </w:pPr>
          <w:r w:rsidRPr="002A7BAE">
            <w:rPr>
              <w:rFonts w:ascii="Times New Roman" w:hAnsi="Times New Roman"/>
              <w:noProof/>
              <w:sz w:val="24"/>
              <w:szCs w:val="24"/>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183876" w:rsidRPr="002A7BAE">
            <w:rPr>
              <w:rFonts w:ascii="Times New Roman" w:hAnsi="Times New Roman"/>
              <w:sz w:val="24"/>
              <w:szCs w:val="24"/>
            </w:rPr>
            <w:fldChar w:fldCharType="begin"/>
          </w:r>
          <w:r w:rsidRPr="002A7BAE">
            <w:rPr>
              <w:rFonts w:ascii="Times New Roman" w:hAnsi="Times New Roman"/>
              <w:sz w:val="24"/>
              <w:szCs w:val="24"/>
            </w:rPr>
            <w:instrText xml:space="preserve"> PAGE   \* MERGEFORMAT </w:instrText>
          </w:r>
          <w:r w:rsidR="00183876" w:rsidRPr="002A7BAE">
            <w:rPr>
              <w:rFonts w:ascii="Times New Roman" w:hAnsi="Times New Roman"/>
              <w:sz w:val="24"/>
              <w:szCs w:val="24"/>
            </w:rPr>
            <w:fldChar w:fldCharType="separate"/>
          </w:r>
          <w:r w:rsidR="0027411B" w:rsidRPr="0027411B">
            <w:rPr>
              <w:rFonts w:ascii="Times New Roman" w:hAnsi="Times New Roman"/>
              <w:b/>
              <w:noProof/>
              <w:sz w:val="24"/>
              <w:szCs w:val="24"/>
            </w:rPr>
            <w:t>3</w:t>
          </w:r>
          <w:r w:rsidR="00183876" w:rsidRPr="002A7BAE">
            <w:rPr>
              <w:rFonts w:ascii="Times New Roman" w:hAnsi="Times New Roman"/>
              <w:sz w:val="24"/>
              <w:szCs w:val="24"/>
            </w:rPr>
            <w:fldChar w:fldCharType="end"/>
          </w:r>
        </w:p>
      </w:tc>
      <w:tc>
        <w:tcPr>
          <w:tcW w:w="7938" w:type="dxa"/>
        </w:tcPr>
        <w:p w:rsidR="002A7BAE" w:rsidRDefault="002A7BAE" w:rsidP="002A7BAE">
          <w:pPr>
            <w:pStyle w:val="Footer"/>
            <w:jc w:val="center"/>
            <w:rPr>
              <w:rFonts w:ascii="Times New Roman" w:hAnsi="Times New Roman"/>
              <w:lang w:val="es-PR"/>
            </w:rPr>
          </w:pPr>
        </w:p>
        <w:p w:rsidR="002A7BAE" w:rsidRDefault="002A7BAE" w:rsidP="002A7BAE">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A7BAE" w:rsidRDefault="002A7BAE" w:rsidP="002A7BAE">
          <w:pPr>
            <w:pStyle w:val="Footer"/>
            <w:jc w:val="center"/>
            <w:rPr>
              <w:rFonts w:ascii="Times New Roman" w:hAnsi="Times New Roman"/>
              <w:sz w:val="16"/>
              <w:szCs w:val="16"/>
              <w:lang w:val="es-PR"/>
            </w:rPr>
          </w:pPr>
        </w:p>
        <w:p w:rsidR="002A7BAE" w:rsidRPr="002A7BAE" w:rsidRDefault="002A7BAE" w:rsidP="002A7BAE">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A64463" w:rsidRPr="0079658A" w:rsidRDefault="00A64463">
    <w:pP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1" w:rsidRDefault="000D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D4" w:rsidRDefault="00F061D4" w:rsidP="005501A9">
      <w:pPr>
        <w:spacing w:after="0" w:line="240" w:lineRule="auto"/>
      </w:pPr>
      <w:r>
        <w:separator/>
      </w:r>
    </w:p>
  </w:footnote>
  <w:footnote w:type="continuationSeparator" w:id="0">
    <w:p w:rsidR="00F061D4" w:rsidRDefault="00F061D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1" w:rsidRDefault="000D2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D3490" w:rsidRPr="000D24B1">
      <w:trPr>
        <w:trHeight w:val="288"/>
      </w:trPr>
      <w:tc>
        <w:tcPr>
          <w:tcW w:w="7765" w:type="dxa"/>
        </w:tcPr>
        <w:p w:rsidR="000D24B1" w:rsidRDefault="00FD3490" w:rsidP="00FD3490">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0D24B1">
            <w:rPr>
              <w:rFonts w:ascii="Times New Roman" w:hAnsi="Times New Roman"/>
              <w:sz w:val="32"/>
              <w:szCs w:val="32"/>
              <w:lang w:val="es-PR"/>
            </w:rPr>
            <w:t>mento de Hacienda</w:t>
          </w:r>
        </w:p>
        <w:p w:rsidR="00FD3490" w:rsidRPr="00446DFA" w:rsidRDefault="00FD3490" w:rsidP="00FD3490">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FD3490" w:rsidRPr="000D24B1" w:rsidRDefault="00FD3490" w:rsidP="00FD3490">
          <w:pPr>
            <w:spacing w:after="0" w:line="240" w:lineRule="auto"/>
            <w:rPr>
              <w:rFonts w:ascii="Times New Roman" w:hAnsi="Times New Roman"/>
              <w:sz w:val="28"/>
              <w:szCs w:val="28"/>
              <w:lang w:val="es-PR"/>
            </w:rPr>
          </w:pPr>
          <w:bookmarkStart w:id="1" w:name="OLE_LINK15"/>
          <w:bookmarkStart w:id="2" w:name="OLE_LINK16"/>
          <w:r w:rsidRPr="000D24B1">
            <w:rPr>
              <w:rFonts w:ascii="Times New Roman" w:hAnsi="Times New Roman"/>
              <w:sz w:val="28"/>
              <w:szCs w:val="28"/>
              <w:lang w:val="es-PR"/>
            </w:rPr>
            <w:t>Negociado de Impuesto al Consumo</w:t>
          </w:r>
        </w:p>
        <w:p w:rsidR="00FD3490" w:rsidRPr="00FD3490" w:rsidRDefault="000D24B1" w:rsidP="00FD3490">
          <w:pPr>
            <w:spacing w:after="0" w:line="240" w:lineRule="auto"/>
            <w:rPr>
              <w:rFonts w:ascii="Times New Roman" w:hAnsi="Times New Roman"/>
              <w:b/>
              <w:sz w:val="28"/>
              <w:szCs w:val="28"/>
              <w:lang w:val="es-PR"/>
            </w:rPr>
          </w:pPr>
          <w:bookmarkStart w:id="3" w:name="OLE_LINK13"/>
          <w:bookmarkStart w:id="4" w:name="OLE_LINK14"/>
          <w:bookmarkEnd w:id="1"/>
          <w:bookmarkEnd w:id="2"/>
          <w:r>
            <w:rPr>
              <w:rFonts w:ascii="Times New Roman" w:hAnsi="Times New Roman"/>
              <w:b/>
              <w:sz w:val="28"/>
              <w:szCs w:val="28"/>
              <w:lang w:val="es-PR"/>
            </w:rPr>
            <w:t>Información</w:t>
          </w:r>
          <w:r w:rsidR="00FD3490">
            <w:rPr>
              <w:rFonts w:ascii="Times New Roman" w:hAnsi="Times New Roman"/>
              <w:b/>
              <w:sz w:val="28"/>
              <w:szCs w:val="28"/>
              <w:lang w:val="es-PR"/>
            </w:rPr>
            <w:t xml:space="preserve"> sobre Fianza (PICO)</w:t>
          </w:r>
          <w:bookmarkEnd w:id="3"/>
          <w:bookmarkEnd w:id="4"/>
        </w:p>
      </w:tc>
      <w:tc>
        <w:tcPr>
          <w:tcW w:w="1105" w:type="dxa"/>
        </w:tcPr>
        <w:p w:rsidR="00FD3490" w:rsidRPr="003025B3" w:rsidRDefault="0027411B" w:rsidP="00FD3490">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54" type="#_x0000_t202" style="position:absolute;margin-left:-.5pt;margin-top:41.1pt;width:86.25pt;height:30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filled="f">
                <v:textbox style="mso-next-textbox:#Text Box 1">
                  <w:txbxContent>
                    <w:p w:rsidR="00FD3490" w:rsidRPr="00446DFA" w:rsidRDefault="00FD3490" w:rsidP="00FD3490">
                      <w:pPr>
                        <w:spacing w:after="0" w:line="240" w:lineRule="auto"/>
                        <w:jc w:val="center"/>
                        <w:rPr>
                          <w:rFonts w:ascii="Times New Roman" w:hAnsi="Times New Roman"/>
                          <w:sz w:val="16"/>
                          <w:szCs w:val="16"/>
                          <w:lang w:val="es-PR"/>
                        </w:rPr>
                      </w:pPr>
                      <w:r>
                        <w:rPr>
                          <w:rFonts w:ascii="Times New Roman" w:hAnsi="Times New Roman"/>
                          <w:sz w:val="16"/>
                          <w:szCs w:val="16"/>
                          <w:lang w:val="es-PR"/>
                        </w:rPr>
                        <w:t>NIC-003</w:t>
                      </w:r>
                    </w:p>
                    <w:p w:rsidR="00FD3490" w:rsidRPr="002608D6" w:rsidRDefault="00FD3490" w:rsidP="00FD3490">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w:t>
                      </w:r>
                      <w:r w:rsidR="000D24B1">
                        <w:rPr>
                          <w:rFonts w:ascii="Times New Roman" w:hAnsi="Times New Roman"/>
                          <w:sz w:val="16"/>
                          <w:szCs w:val="16"/>
                          <w:lang w:val="es-PR"/>
                        </w:rPr>
                        <w:t>9</w:t>
                      </w:r>
                      <w:r w:rsidRPr="00446DFA">
                        <w:rPr>
                          <w:rFonts w:ascii="Times New Roman" w:hAnsi="Times New Roman"/>
                          <w:sz w:val="16"/>
                          <w:szCs w:val="16"/>
                          <w:lang w:val="es-PR"/>
                        </w:rPr>
                        <w:t>-</w:t>
                      </w:r>
                      <w:r w:rsidR="00E31340">
                        <w:rPr>
                          <w:rFonts w:ascii="Times New Roman" w:hAnsi="Times New Roman"/>
                          <w:sz w:val="16"/>
                          <w:szCs w:val="16"/>
                          <w:lang w:val="es-PR"/>
                        </w:rPr>
                        <w:t>ago</w:t>
                      </w:r>
                      <w:r w:rsidRPr="00446DFA">
                        <w:rPr>
                          <w:rFonts w:ascii="Times New Roman" w:hAnsi="Times New Roman"/>
                          <w:sz w:val="16"/>
                          <w:szCs w:val="16"/>
                          <w:lang w:val="es-PR"/>
                        </w:rPr>
                        <w:t>-15</w:t>
                      </w:r>
                    </w:p>
                  </w:txbxContent>
                </v:textbox>
              </v:shape>
            </w:pict>
          </w:r>
        </w:p>
      </w:tc>
    </w:tr>
  </w:tbl>
  <w:p w:rsidR="000407F3" w:rsidRPr="005F26F6" w:rsidRDefault="000407F3" w:rsidP="00FD3490">
    <w:pPr>
      <w:spacing w:after="0" w:line="100" w:lineRule="exact"/>
      <w:rPr>
        <w:rFonts w:ascii="Times New Roman" w:hAnsi="Times New Roman"/>
        <w:b/>
        <w:sz w:val="28"/>
        <w:szCs w:val="2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B1" w:rsidRDefault="000D2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87F"/>
    <w:multiLevelType w:val="hybridMultilevel"/>
    <w:tmpl w:val="0370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2DA"/>
    <w:multiLevelType w:val="hybridMultilevel"/>
    <w:tmpl w:val="FC6E8A9C"/>
    <w:lvl w:ilvl="0" w:tplc="EAA6905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45EC"/>
    <w:multiLevelType w:val="hybridMultilevel"/>
    <w:tmpl w:val="4078C1A4"/>
    <w:lvl w:ilvl="0" w:tplc="5B3C69B2">
      <w:start w:val="1"/>
      <w:numFmt w:val="bullet"/>
      <w:lvlText w:val="•"/>
      <w:lvlJc w:val="left"/>
      <w:pPr>
        <w:tabs>
          <w:tab w:val="num" w:pos="720"/>
        </w:tabs>
        <w:ind w:left="720" w:hanging="360"/>
      </w:pPr>
      <w:rPr>
        <w:rFonts w:ascii="Arial" w:hAnsi="Arial" w:hint="default"/>
      </w:rPr>
    </w:lvl>
    <w:lvl w:ilvl="1" w:tplc="708C479A">
      <w:start w:val="1"/>
      <w:numFmt w:val="bullet"/>
      <w:lvlText w:val="•"/>
      <w:lvlJc w:val="left"/>
      <w:pPr>
        <w:tabs>
          <w:tab w:val="num" w:pos="1440"/>
        </w:tabs>
        <w:ind w:left="1440" w:hanging="360"/>
      </w:pPr>
      <w:rPr>
        <w:rFonts w:ascii="Arial" w:hAnsi="Arial" w:hint="default"/>
      </w:rPr>
    </w:lvl>
    <w:lvl w:ilvl="2" w:tplc="4EF2E7B6" w:tentative="1">
      <w:start w:val="1"/>
      <w:numFmt w:val="bullet"/>
      <w:lvlText w:val="•"/>
      <w:lvlJc w:val="left"/>
      <w:pPr>
        <w:tabs>
          <w:tab w:val="num" w:pos="2160"/>
        </w:tabs>
        <w:ind w:left="2160" w:hanging="360"/>
      </w:pPr>
      <w:rPr>
        <w:rFonts w:ascii="Arial" w:hAnsi="Arial" w:hint="default"/>
      </w:rPr>
    </w:lvl>
    <w:lvl w:ilvl="3" w:tplc="B248EBE0" w:tentative="1">
      <w:start w:val="1"/>
      <w:numFmt w:val="bullet"/>
      <w:lvlText w:val="•"/>
      <w:lvlJc w:val="left"/>
      <w:pPr>
        <w:tabs>
          <w:tab w:val="num" w:pos="2880"/>
        </w:tabs>
        <w:ind w:left="2880" w:hanging="360"/>
      </w:pPr>
      <w:rPr>
        <w:rFonts w:ascii="Arial" w:hAnsi="Arial" w:hint="default"/>
      </w:rPr>
    </w:lvl>
    <w:lvl w:ilvl="4" w:tplc="AE906D1A" w:tentative="1">
      <w:start w:val="1"/>
      <w:numFmt w:val="bullet"/>
      <w:lvlText w:val="•"/>
      <w:lvlJc w:val="left"/>
      <w:pPr>
        <w:tabs>
          <w:tab w:val="num" w:pos="3600"/>
        </w:tabs>
        <w:ind w:left="3600" w:hanging="360"/>
      </w:pPr>
      <w:rPr>
        <w:rFonts w:ascii="Arial" w:hAnsi="Arial" w:hint="default"/>
      </w:rPr>
    </w:lvl>
    <w:lvl w:ilvl="5" w:tplc="0F268366" w:tentative="1">
      <w:start w:val="1"/>
      <w:numFmt w:val="bullet"/>
      <w:lvlText w:val="•"/>
      <w:lvlJc w:val="left"/>
      <w:pPr>
        <w:tabs>
          <w:tab w:val="num" w:pos="4320"/>
        </w:tabs>
        <w:ind w:left="4320" w:hanging="360"/>
      </w:pPr>
      <w:rPr>
        <w:rFonts w:ascii="Arial" w:hAnsi="Arial" w:hint="default"/>
      </w:rPr>
    </w:lvl>
    <w:lvl w:ilvl="6" w:tplc="5FBE7526" w:tentative="1">
      <w:start w:val="1"/>
      <w:numFmt w:val="bullet"/>
      <w:lvlText w:val="•"/>
      <w:lvlJc w:val="left"/>
      <w:pPr>
        <w:tabs>
          <w:tab w:val="num" w:pos="5040"/>
        </w:tabs>
        <w:ind w:left="5040" w:hanging="360"/>
      </w:pPr>
      <w:rPr>
        <w:rFonts w:ascii="Arial" w:hAnsi="Arial" w:hint="default"/>
      </w:rPr>
    </w:lvl>
    <w:lvl w:ilvl="7" w:tplc="CEF2C35C" w:tentative="1">
      <w:start w:val="1"/>
      <w:numFmt w:val="bullet"/>
      <w:lvlText w:val="•"/>
      <w:lvlJc w:val="left"/>
      <w:pPr>
        <w:tabs>
          <w:tab w:val="num" w:pos="5760"/>
        </w:tabs>
        <w:ind w:left="5760" w:hanging="360"/>
      </w:pPr>
      <w:rPr>
        <w:rFonts w:ascii="Arial" w:hAnsi="Arial" w:hint="default"/>
      </w:rPr>
    </w:lvl>
    <w:lvl w:ilvl="8" w:tplc="1CF8C0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E42B4E"/>
    <w:multiLevelType w:val="hybridMultilevel"/>
    <w:tmpl w:val="EF18F4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E52459"/>
    <w:multiLevelType w:val="multilevel"/>
    <w:tmpl w:val="6818C5AE"/>
    <w:lvl w:ilvl="0">
      <w:start w:val="1"/>
      <w:numFmt w:val="bullet"/>
      <w:lvlText w:val=""/>
      <w:lvlJc w:val="left"/>
      <w:pPr>
        <w:tabs>
          <w:tab w:val="num" w:pos="3420"/>
        </w:tabs>
        <w:ind w:left="3420" w:hanging="360"/>
      </w:pPr>
      <w:rPr>
        <w:rFonts w:ascii="Symbol" w:hAnsi="Symbol" w:hint="default"/>
        <w:sz w:val="20"/>
      </w:rPr>
    </w:lvl>
    <w:lvl w:ilvl="1">
      <w:start w:val="1"/>
      <w:numFmt w:val="decimal"/>
      <w:lvlText w:val="%2."/>
      <w:lvlJc w:val="left"/>
      <w:pPr>
        <w:tabs>
          <w:tab w:val="num" w:pos="4140"/>
        </w:tabs>
        <w:ind w:left="4140" w:hanging="360"/>
      </w:pPr>
    </w:lvl>
    <w:lvl w:ilvl="2">
      <w:start w:val="1"/>
      <w:numFmt w:val="decimal"/>
      <w:lvlText w:val="%3."/>
      <w:lvlJc w:val="left"/>
      <w:pPr>
        <w:tabs>
          <w:tab w:val="num" w:pos="4860"/>
        </w:tabs>
        <w:ind w:left="4860" w:hanging="360"/>
      </w:pPr>
    </w:lvl>
    <w:lvl w:ilvl="3">
      <w:start w:val="1"/>
      <w:numFmt w:val="decimal"/>
      <w:lvlText w:val="%4."/>
      <w:lvlJc w:val="left"/>
      <w:pPr>
        <w:tabs>
          <w:tab w:val="num" w:pos="5580"/>
        </w:tabs>
        <w:ind w:left="5580" w:hanging="360"/>
      </w:pPr>
    </w:lvl>
    <w:lvl w:ilvl="4">
      <w:start w:val="1"/>
      <w:numFmt w:val="decimal"/>
      <w:lvlText w:val="%5."/>
      <w:lvlJc w:val="left"/>
      <w:pPr>
        <w:tabs>
          <w:tab w:val="num" w:pos="6300"/>
        </w:tabs>
        <w:ind w:left="6300" w:hanging="360"/>
      </w:pPr>
    </w:lvl>
    <w:lvl w:ilvl="5">
      <w:start w:val="1"/>
      <w:numFmt w:val="decimal"/>
      <w:lvlText w:val="%6."/>
      <w:lvlJc w:val="left"/>
      <w:pPr>
        <w:tabs>
          <w:tab w:val="num" w:pos="7020"/>
        </w:tabs>
        <w:ind w:left="7020" w:hanging="360"/>
      </w:pPr>
    </w:lvl>
    <w:lvl w:ilvl="6">
      <w:start w:val="1"/>
      <w:numFmt w:val="decimal"/>
      <w:lvlText w:val="%7."/>
      <w:lvlJc w:val="left"/>
      <w:pPr>
        <w:tabs>
          <w:tab w:val="num" w:pos="7740"/>
        </w:tabs>
        <w:ind w:left="7740" w:hanging="360"/>
      </w:pPr>
    </w:lvl>
    <w:lvl w:ilvl="7">
      <w:start w:val="1"/>
      <w:numFmt w:val="decimal"/>
      <w:lvlText w:val="%8."/>
      <w:lvlJc w:val="left"/>
      <w:pPr>
        <w:tabs>
          <w:tab w:val="num" w:pos="8460"/>
        </w:tabs>
        <w:ind w:left="8460" w:hanging="360"/>
      </w:pPr>
    </w:lvl>
    <w:lvl w:ilvl="8">
      <w:start w:val="1"/>
      <w:numFmt w:val="decimal"/>
      <w:lvlText w:val="%9."/>
      <w:lvlJc w:val="left"/>
      <w:pPr>
        <w:tabs>
          <w:tab w:val="num" w:pos="9180"/>
        </w:tabs>
        <w:ind w:left="9180" w:hanging="360"/>
      </w:pPr>
    </w:lvl>
  </w:abstractNum>
  <w:abstractNum w:abstractNumId="5" w15:restartNumberingAfterBreak="0">
    <w:nsid w:val="2FF57693"/>
    <w:multiLevelType w:val="hybridMultilevel"/>
    <w:tmpl w:val="8CB8E858"/>
    <w:lvl w:ilvl="0" w:tplc="38EE51B0">
      <w:start w:val="1"/>
      <w:numFmt w:val="bullet"/>
      <w:lvlText w:val="•"/>
      <w:lvlJc w:val="left"/>
      <w:pPr>
        <w:tabs>
          <w:tab w:val="num" w:pos="720"/>
        </w:tabs>
        <w:ind w:left="720" w:hanging="360"/>
      </w:pPr>
      <w:rPr>
        <w:rFonts w:ascii="Arial" w:hAnsi="Arial" w:hint="default"/>
      </w:rPr>
    </w:lvl>
    <w:lvl w:ilvl="1" w:tplc="42E6EACE">
      <w:start w:val="1"/>
      <w:numFmt w:val="bullet"/>
      <w:lvlText w:val="•"/>
      <w:lvlJc w:val="left"/>
      <w:pPr>
        <w:tabs>
          <w:tab w:val="num" w:pos="1440"/>
        </w:tabs>
        <w:ind w:left="1440" w:hanging="360"/>
      </w:pPr>
      <w:rPr>
        <w:rFonts w:ascii="Arial" w:hAnsi="Arial" w:hint="default"/>
      </w:rPr>
    </w:lvl>
    <w:lvl w:ilvl="2" w:tplc="5F2A68B8" w:tentative="1">
      <w:start w:val="1"/>
      <w:numFmt w:val="bullet"/>
      <w:lvlText w:val="•"/>
      <w:lvlJc w:val="left"/>
      <w:pPr>
        <w:tabs>
          <w:tab w:val="num" w:pos="2160"/>
        </w:tabs>
        <w:ind w:left="2160" w:hanging="360"/>
      </w:pPr>
      <w:rPr>
        <w:rFonts w:ascii="Arial" w:hAnsi="Arial" w:hint="default"/>
      </w:rPr>
    </w:lvl>
    <w:lvl w:ilvl="3" w:tplc="FC9C73B6" w:tentative="1">
      <w:start w:val="1"/>
      <w:numFmt w:val="bullet"/>
      <w:lvlText w:val="•"/>
      <w:lvlJc w:val="left"/>
      <w:pPr>
        <w:tabs>
          <w:tab w:val="num" w:pos="2880"/>
        </w:tabs>
        <w:ind w:left="2880" w:hanging="360"/>
      </w:pPr>
      <w:rPr>
        <w:rFonts w:ascii="Arial" w:hAnsi="Arial" w:hint="default"/>
      </w:rPr>
    </w:lvl>
    <w:lvl w:ilvl="4" w:tplc="67B4F8EA" w:tentative="1">
      <w:start w:val="1"/>
      <w:numFmt w:val="bullet"/>
      <w:lvlText w:val="•"/>
      <w:lvlJc w:val="left"/>
      <w:pPr>
        <w:tabs>
          <w:tab w:val="num" w:pos="3600"/>
        </w:tabs>
        <w:ind w:left="3600" w:hanging="360"/>
      </w:pPr>
      <w:rPr>
        <w:rFonts w:ascii="Arial" w:hAnsi="Arial" w:hint="default"/>
      </w:rPr>
    </w:lvl>
    <w:lvl w:ilvl="5" w:tplc="C5F494B8" w:tentative="1">
      <w:start w:val="1"/>
      <w:numFmt w:val="bullet"/>
      <w:lvlText w:val="•"/>
      <w:lvlJc w:val="left"/>
      <w:pPr>
        <w:tabs>
          <w:tab w:val="num" w:pos="4320"/>
        </w:tabs>
        <w:ind w:left="4320" w:hanging="360"/>
      </w:pPr>
      <w:rPr>
        <w:rFonts w:ascii="Arial" w:hAnsi="Arial" w:hint="default"/>
      </w:rPr>
    </w:lvl>
    <w:lvl w:ilvl="6" w:tplc="EBFE1EAE" w:tentative="1">
      <w:start w:val="1"/>
      <w:numFmt w:val="bullet"/>
      <w:lvlText w:val="•"/>
      <w:lvlJc w:val="left"/>
      <w:pPr>
        <w:tabs>
          <w:tab w:val="num" w:pos="5040"/>
        </w:tabs>
        <w:ind w:left="5040" w:hanging="360"/>
      </w:pPr>
      <w:rPr>
        <w:rFonts w:ascii="Arial" w:hAnsi="Arial" w:hint="default"/>
      </w:rPr>
    </w:lvl>
    <w:lvl w:ilvl="7" w:tplc="598223D6" w:tentative="1">
      <w:start w:val="1"/>
      <w:numFmt w:val="bullet"/>
      <w:lvlText w:val="•"/>
      <w:lvlJc w:val="left"/>
      <w:pPr>
        <w:tabs>
          <w:tab w:val="num" w:pos="5760"/>
        </w:tabs>
        <w:ind w:left="5760" w:hanging="360"/>
      </w:pPr>
      <w:rPr>
        <w:rFonts w:ascii="Arial" w:hAnsi="Arial" w:hint="default"/>
      </w:rPr>
    </w:lvl>
    <w:lvl w:ilvl="8" w:tplc="2CBEED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2C43BF"/>
    <w:multiLevelType w:val="hybridMultilevel"/>
    <w:tmpl w:val="7B98F222"/>
    <w:lvl w:ilvl="0" w:tplc="8FDECFBA">
      <w:start w:val="1"/>
      <w:numFmt w:val="bullet"/>
      <w:lvlText w:val="•"/>
      <w:lvlJc w:val="left"/>
      <w:pPr>
        <w:tabs>
          <w:tab w:val="num" w:pos="720"/>
        </w:tabs>
        <w:ind w:left="720" w:hanging="360"/>
      </w:pPr>
      <w:rPr>
        <w:rFonts w:ascii="Arial" w:hAnsi="Arial" w:hint="default"/>
      </w:rPr>
    </w:lvl>
    <w:lvl w:ilvl="1" w:tplc="BB8C7226">
      <w:start w:val="1"/>
      <w:numFmt w:val="bullet"/>
      <w:lvlText w:val="•"/>
      <w:lvlJc w:val="left"/>
      <w:pPr>
        <w:tabs>
          <w:tab w:val="num" w:pos="1440"/>
        </w:tabs>
        <w:ind w:left="1440" w:hanging="360"/>
      </w:pPr>
      <w:rPr>
        <w:rFonts w:ascii="Arial" w:hAnsi="Arial" w:hint="default"/>
      </w:rPr>
    </w:lvl>
    <w:lvl w:ilvl="2" w:tplc="A6963726" w:tentative="1">
      <w:start w:val="1"/>
      <w:numFmt w:val="bullet"/>
      <w:lvlText w:val="•"/>
      <w:lvlJc w:val="left"/>
      <w:pPr>
        <w:tabs>
          <w:tab w:val="num" w:pos="2160"/>
        </w:tabs>
        <w:ind w:left="2160" w:hanging="360"/>
      </w:pPr>
      <w:rPr>
        <w:rFonts w:ascii="Arial" w:hAnsi="Arial" w:hint="default"/>
      </w:rPr>
    </w:lvl>
    <w:lvl w:ilvl="3" w:tplc="01C673D6" w:tentative="1">
      <w:start w:val="1"/>
      <w:numFmt w:val="bullet"/>
      <w:lvlText w:val="•"/>
      <w:lvlJc w:val="left"/>
      <w:pPr>
        <w:tabs>
          <w:tab w:val="num" w:pos="2880"/>
        </w:tabs>
        <w:ind w:left="2880" w:hanging="360"/>
      </w:pPr>
      <w:rPr>
        <w:rFonts w:ascii="Arial" w:hAnsi="Arial" w:hint="default"/>
      </w:rPr>
    </w:lvl>
    <w:lvl w:ilvl="4" w:tplc="534E5F8E" w:tentative="1">
      <w:start w:val="1"/>
      <w:numFmt w:val="bullet"/>
      <w:lvlText w:val="•"/>
      <w:lvlJc w:val="left"/>
      <w:pPr>
        <w:tabs>
          <w:tab w:val="num" w:pos="3600"/>
        </w:tabs>
        <w:ind w:left="3600" w:hanging="360"/>
      </w:pPr>
      <w:rPr>
        <w:rFonts w:ascii="Arial" w:hAnsi="Arial" w:hint="default"/>
      </w:rPr>
    </w:lvl>
    <w:lvl w:ilvl="5" w:tplc="29FE47E8" w:tentative="1">
      <w:start w:val="1"/>
      <w:numFmt w:val="bullet"/>
      <w:lvlText w:val="•"/>
      <w:lvlJc w:val="left"/>
      <w:pPr>
        <w:tabs>
          <w:tab w:val="num" w:pos="4320"/>
        </w:tabs>
        <w:ind w:left="4320" w:hanging="360"/>
      </w:pPr>
      <w:rPr>
        <w:rFonts w:ascii="Arial" w:hAnsi="Arial" w:hint="default"/>
      </w:rPr>
    </w:lvl>
    <w:lvl w:ilvl="6" w:tplc="E2D21464" w:tentative="1">
      <w:start w:val="1"/>
      <w:numFmt w:val="bullet"/>
      <w:lvlText w:val="•"/>
      <w:lvlJc w:val="left"/>
      <w:pPr>
        <w:tabs>
          <w:tab w:val="num" w:pos="5040"/>
        </w:tabs>
        <w:ind w:left="5040" w:hanging="360"/>
      </w:pPr>
      <w:rPr>
        <w:rFonts w:ascii="Arial" w:hAnsi="Arial" w:hint="default"/>
      </w:rPr>
    </w:lvl>
    <w:lvl w:ilvl="7" w:tplc="B7DA9876" w:tentative="1">
      <w:start w:val="1"/>
      <w:numFmt w:val="bullet"/>
      <w:lvlText w:val="•"/>
      <w:lvlJc w:val="left"/>
      <w:pPr>
        <w:tabs>
          <w:tab w:val="num" w:pos="5760"/>
        </w:tabs>
        <w:ind w:left="5760" w:hanging="360"/>
      </w:pPr>
      <w:rPr>
        <w:rFonts w:ascii="Arial" w:hAnsi="Arial" w:hint="default"/>
      </w:rPr>
    </w:lvl>
    <w:lvl w:ilvl="8" w:tplc="586478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0383870"/>
    <w:multiLevelType w:val="hybridMultilevel"/>
    <w:tmpl w:val="9278A52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23CCE"/>
    <w:multiLevelType w:val="hybridMultilevel"/>
    <w:tmpl w:val="CCBE3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C6C53"/>
    <w:multiLevelType w:val="hybridMultilevel"/>
    <w:tmpl w:val="5BECE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55CC1"/>
    <w:multiLevelType w:val="hybridMultilevel"/>
    <w:tmpl w:val="2A28B15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7E3B7C99"/>
    <w:multiLevelType w:val="hybridMultilevel"/>
    <w:tmpl w:val="9F4CD1E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11"/>
  </w:num>
  <w:num w:numId="6">
    <w:abstractNumId w:val="0"/>
  </w:num>
  <w:num w:numId="7">
    <w:abstractNumId w:val="8"/>
  </w:num>
  <w:num w:numId="8">
    <w:abstractNumId w:val="12"/>
  </w:num>
  <w:num w:numId="9">
    <w:abstractNumId w:val="10"/>
  </w:num>
  <w:num w:numId="10">
    <w:abstractNumId w:val="14"/>
  </w:num>
  <w:num w:numId="11">
    <w:abstractNumId w:val="5"/>
  </w:num>
  <w:num w:numId="12">
    <w:abstractNumId w:val="2"/>
  </w:num>
  <w:num w:numId="13">
    <w:abstractNumId w:val="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49AE"/>
    <w:rsid w:val="00005355"/>
    <w:rsid w:val="000103CD"/>
    <w:rsid w:val="00021BB5"/>
    <w:rsid w:val="00022098"/>
    <w:rsid w:val="00026825"/>
    <w:rsid w:val="00031913"/>
    <w:rsid w:val="00032898"/>
    <w:rsid w:val="00032D48"/>
    <w:rsid w:val="00035A7B"/>
    <w:rsid w:val="00037674"/>
    <w:rsid w:val="000407F3"/>
    <w:rsid w:val="000458BF"/>
    <w:rsid w:val="000517CD"/>
    <w:rsid w:val="0005534A"/>
    <w:rsid w:val="00057000"/>
    <w:rsid w:val="000654F9"/>
    <w:rsid w:val="00066C33"/>
    <w:rsid w:val="000674D5"/>
    <w:rsid w:val="0007270C"/>
    <w:rsid w:val="00075B22"/>
    <w:rsid w:val="00075B7B"/>
    <w:rsid w:val="00076DE8"/>
    <w:rsid w:val="00077B18"/>
    <w:rsid w:val="00087CB3"/>
    <w:rsid w:val="0009017E"/>
    <w:rsid w:val="00091C87"/>
    <w:rsid w:val="000931BC"/>
    <w:rsid w:val="000940BF"/>
    <w:rsid w:val="00095162"/>
    <w:rsid w:val="0009685B"/>
    <w:rsid w:val="000A0710"/>
    <w:rsid w:val="000A1207"/>
    <w:rsid w:val="000A19E1"/>
    <w:rsid w:val="000A5968"/>
    <w:rsid w:val="000A6877"/>
    <w:rsid w:val="000B2831"/>
    <w:rsid w:val="000B69D3"/>
    <w:rsid w:val="000C26F9"/>
    <w:rsid w:val="000C5283"/>
    <w:rsid w:val="000D1646"/>
    <w:rsid w:val="000D24B1"/>
    <w:rsid w:val="000D60F9"/>
    <w:rsid w:val="000E0503"/>
    <w:rsid w:val="000E07E2"/>
    <w:rsid w:val="000E4017"/>
    <w:rsid w:val="000F2739"/>
    <w:rsid w:val="000F40B6"/>
    <w:rsid w:val="000F4705"/>
    <w:rsid w:val="000F5DB3"/>
    <w:rsid w:val="000F7989"/>
    <w:rsid w:val="00101F32"/>
    <w:rsid w:val="00105244"/>
    <w:rsid w:val="0011279C"/>
    <w:rsid w:val="00112EDF"/>
    <w:rsid w:val="001143FE"/>
    <w:rsid w:val="00122E19"/>
    <w:rsid w:val="00125E0D"/>
    <w:rsid w:val="00126FC9"/>
    <w:rsid w:val="00133BAB"/>
    <w:rsid w:val="00134878"/>
    <w:rsid w:val="001356F1"/>
    <w:rsid w:val="00142FD6"/>
    <w:rsid w:val="0014766A"/>
    <w:rsid w:val="00162D4A"/>
    <w:rsid w:val="00162E92"/>
    <w:rsid w:val="0016664C"/>
    <w:rsid w:val="00167033"/>
    <w:rsid w:val="00173985"/>
    <w:rsid w:val="00174283"/>
    <w:rsid w:val="0017557C"/>
    <w:rsid w:val="00175C1F"/>
    <w:rsid w:val="00181A79"/>
    <w:rsid w:val="00182153"/>
    <w:rsid w:val="00183876"/>
    <w:rsid w:val="00185F44"/>
    <w:rsid w:val="001860B9"/>
    <w:rsid w:val="00191D71"/>
    <w:rsid w:val="00194922"/>
    <w:rsid w:val="001A0C2B"/>
    <w:rsid w:val="001A49AE"/>
    <w:rsid w:val="001B0BD6"/>
    <w:rsid w:val="001B4194"/>
    <w:rsid w:val="001B542E"/>
    <w:rsid w:val="001B5E3B"/>
    <w:rsid w:val="001B6C87"/>
    <w:rsid w:val="001B70DB"/>
    <w:rsid w:val="001B74B7"/>
    <w:rsid w:val="001C147E"/>
    <w:rsid w:val="001C2D5F"/>
    <w:rsid w:val="001C4B1B"/>
    <w:rsid w:val="001C7A01"/>
    <w:rsid w:val="001D12CF"/>
    <w:rsid w:val="001D44CE"/>
    <w:rsid w:val="001D4B35"/>
    <w:rsid w:val="001D586F"/>
    <w:rsid w:val="001D7421"/>
    <w:rsid w:val="001E1870"/>
    <w:rsid w:val="001E5F9F"/>
    <w:rsid w:val="001E770C"/>
    <w:rsid w:val="001E7BC3"/>
    <w:rsid w:val="001F4301"/>
    <w:rsid w:val="002004EC"/>
    <w:rsid w:val="0020276F"/>
    <w:rsid w:val="002036C5"/>
    <w:rsid w:val="00203A78"/>
    <w:rsid w:val="00204116"/>
    <w:rsid w:val="00204FA7"/>
    <w:rsid w:val="002057AB"/>
    <w:rsid w:val="002069F5"/>
    <w:rsid w:val="002160D3"/>
    <w:rsid w:val="002178F4"/>
    <w:rsid w:val="002211A0"/>
    <w:rsid w:val="002240FF"/>
    <w:rsid w:val="002241F3"/>
    <w:rsid w:val="00224796"/>
    <w:rsid w:val="00225FE9"/>
    <w:rsid w:val="00230040"/>
    <w:rsid w:val="00231ED1"/>
    <w:rsid w:val="00235062"/>
    <w:rsid w:val="0023536C"/>
    <w:rsid w:val="00236370"/>
    <w:rsid w:val="00236F9F"/>
    <w:rsid w:val="00237BDC"/>
    <w:rsid w:val="00245FEB"/>
    <w:rsid w:val="002501E2"/>
    <w:rsid w:val="00252203"/>
    <w:rsid w:val="00257170"/>
    <w:rsid w:val="0026048F"/>
    <w:rsid w:val="002608D6"/>
    <w:rsid w:val="00260B67"/>
    <w:rsid w:val="00265792"/>
    <w:rsid w:val="00266E31"/>
    <w:rsid w:val="0026787D"/>
    <w:rsid w:val="00267DA0"/>
    <w:rsid w:val="002734CB"/>
    <w:rsid w:val="0027411B"/>
    <w:rsid w:val="0027646A"/>
    <w:rsid w:val="00277BF0"/>
    <w:rsid w:val="00280855"/>
    <w:rsid w:val="002808B8"/>
    <w:rsid w:val="00285FF6"/>
    <w:rsid w:val="002908E3"/>
    <w:rsid w:val="00294163"/>
    <w:rsid w:val="00294F66"/>
    <w:rsid w:val="002A7ACF"/>
    <w:rsid w:val="002A7BAE"/>
    <w:rsid w:val="002B3B71"/>
    <w:rsid w:val="002B5156"/>
    <w:rsid w:val="002B7B12"/>
    <w:rsid w:val="002C1753"/>
    <w:rsid w:val="002C67C1"/>
    <w:rsid w:val="002D1E0C"/>
    <w:rsid w:val="002D3544"/>
    <w:rsid w:val="002D3658"/>
    <w:rsid w:val="002F030A"/>
    <w:rsid w:val="002F27C7"/>
    <w:rsid w:val="002F2A29"/>
    <w:rsid w:val="002F38A5"/>
    <w:rsid w:val="002F644B"/>
    <w:rsid w:val="0030058C"/>
    <w:rsid w:val="003017A1"/>
    <w:rsid w:val="003025B3"/>
    <w:rsid w:val="00303BF4"/>
    <w:rsid w:val="00306286"/>
    <w:rsid w:val="00307F9A"/>
    <w:rsid w:val="00314199"/>
    <w:rsid w:val="003278F2"/>
    <w:rsid w:val="00334540"/>
    <w:rsid w:val="00336FEF"/>
    <w:rsid w:val="0033701A"/>
    <w:rsid w:val="003412E6"/>
    <w:rsid w:val="00344E42"/>
    <w:rsid w:val="00351C23"/>
    <w:rsid w:val="003556DB"/>
    <w:rsid w:val="003561C2"/>
    <w:rsid w:val="00362B7B"/>
    <w:rsid w:val="0036675A"/>
    <w:rsid w:val="00367692"/>
    <w:rsid w:val="00370141"/>
    <w:rsid w:val="003746B0"/>
    <w:rsid w:val="0038431C"/>
    <w:rsid w:val="00393F9D"/>
    <w:rsid w:val="003950A0"/>
    <w:rsid w:val="00396926"/>
    <w:rsid w:val="003A20CF"/>
    <w:rsid w:val="003A39B8"/>
    <w:rsid w:val="003A4642"/>
    <w:rsid w:val="003A7310"/>
    <w:rsid w:val="003B05C3"/>
    <w:rsid w:val="003B4575"/>
    <w:rsid w:val="003C6015"/>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0548"/>
    <w:rsid w:val="00445105"/>
    <w:rsid w:val="00446DFA"/>
    <w:rsid w:val="004529FC"/>
    <w:rsid w:val="004548F1"/>
    <w:rsid w:val="00456683"/>
    <w:rsid w:val="004651BE"/>
    <w:rsid w:val="0047186A"/>
    <w:rsid w:val="0047480F"/>
    <w:rsid w:val="00475E45"/>
    <w:rsid w:val="00476F59"/>
    <w:rsid w:val="004837E0"/>
    <w:rsid w:val="004842B9"/>
    <w:rsid w:val="004847E5"/>
    <w:rsid w:val="00492B06"/>
    <w:rsid w:val="00493208"/>
    <w:rsid w:val="0049324C"/>
    <w:rsid w:val="004979AF"/>
    <w:rsid w:val="00497B37"/>
    <w:rsid w:val="00497B57"/>
    <w:rsid w:val="004A04AB"/>
    <w:rsid w:val="004A3B37"/>
    <w:rsid w:val="004A5AAE"/>
    <w:rsid w:val="004B5277"/>
    <w:rsid w:val="004C0063"/>
    <w:rsid w:val="004C2D1D"/>
    <w:rsid w:val="004C5B59"/>
    <w:rsid w:val="004C746A"/>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6109"/>
    <w:rsid w:val="0058498C"/>
    <w:rsid w:val="00584EAA"/>
    <w:rsid w:val="00590F9C"/>
    <w:rsid w:val="00591CEE"/>
    <w:rsid w:val="0059391F"/>
    <w:rsid w:val="0059790A"/>
    <w:rsid w:val="005A5486"/>
    <w:rsid w:val="005B0EA6"/>
    <w:rsid w:val="005B2388"/>
    <w:rsid w:val="005C1B0C"/>
    <w:rsid w:val="005C1D13"/>
    <w:rsid w:val="005C33B7"/>
    <w:rsid w:val="005C5F14"/>
    <w:rsid w:val="005D231D"/>
    <w:rsid w:val="005D2EE9"/>
    <w:rsid w:val="005D4CDE"/>
    <w:rsid w:val="005D6FC4"/>
    <w:rsid w:val="005D72CC"/>
    <w:rsid w:val="005E2F0C"/>
    <w:rsid w:val="005F07EB"/>
    <w:rsid w:val="005F21F7"/>
    <w:rsid w:val="005F26F6"/>
    <w:rsid w:val="005F3A77"/>
    <w:rsid w:val="005F7447"/>
    <w:rsid w:val="00605644"/>
    <w:rsid w:val="00607D00"/>
    <w:rsid w:val="00614C19"/>
    <w:rsid w:val="00622027"/>
    <w:rsid w:val="006226DD"/>
    <w:rsid w:val="006318C0"/>
    <w:rsid w:val="00633154"/>
    <w:rsid w:val="00633672"/>
    <w:rsid w:val="00633E03"/>
    <w:rsid w:val="00636F9A"/>
    <w:rsid w:val="00644031"/>
    <w:rsid w:val="0064699D"/>
    <w:rsid w:val="00650A44"/>
    <w:rsid w:val="00655D34"/>
    <w:rsid w:val="00655E15"/>
    <w:rsid w:val="00657A0B"/>
    <w:rsid w:val="0066535D"/>
    <w:rsid w:val="006655BB"/>
    <w:rsid w:val="006660B7"/>
    <w:rsid w:val="00667D45"/>
    <w:rsid w:val="00670C6C"/>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3E6D"/>
    <w:rsid w:val="006C50A0"/>
    <w:rsid w:val="006C6588"/>
    <w:rsid w:val="006C6B39"/>
    <w:rsid w:val="006E3049"/>
    <w:rsid w:val="006E374E"/>
    <w:rsid w:val="006E53F7"/>
    <w:rsid w:val="006E714E"/>
    <w:rsid w:val="006F0C66"/>
    <w:rsid w:val="006F14E2"/>
    <w:rsid w:val="006F359E"/>
    <w:rsid w:val="006F73FB"/>
    <w:rsid w:val="00706AE9"/>
    <w:rsid w:val="00722794"/>
    <w:rsid w:val="00726CF4"/>
    <w:rsid w:val="007271F4"/>
    <w:rsid w:val="00731597"/>
    <w:rsid w:val="00735007"/>
    <w:rsid w:val="00735FB7"/>
    <w:rsid w:val="007415A2"/>
    <w:rsid w:val="0074728C"/>
    <w:rsid w:val="00750887"/>
    <w:rsid w:val="00753436"/>
    <w:rsid w:val="007546E5"/>
    <w:rsid w:val="00756897"/>
    <w:rsid w:val="0076116F"/>
    <w:rsid w:val="00761B40"/>
    <w:rsid w:val="00771EEF"/>
    <w:rsid w:val="0077273F"/>
    <w:rsid w:val="007776A3"/>
    <w:rsid w:val="00781E56"/>
    <w:rsid w:val="00781F98"/>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35AE"/>
    <w:rsid w:val="007F6C93"/>
    <w:rsid w:val="007F7A59"/>
    <w:rsid w:val="00807397"/>
    <w:rsid w:val="00811A87"/>
    <w:rsid w:val="00815B23"/>
    <w:rsid w:val="00817C0C"/>
    <w:rsid w:val="00824CB0"/>
    <w:rsid w:val="00825489"/>
    <w:rsid w:val="00832CC3"/>
    <w:rsid w:val="0083442B"/>
    <w:rsid w:val="00841D9E"/>
    <w:rsid w:val="008465C6"/>
    <w:rsid w:val="008542CD"/>
    <w:rsid w:val="008607D6"/>
    <w:rsid w:val="00864B7D"/>
    <w:rsid w:val="008766CF"/>
    <w:rsid w:val="00877A45"/>
    <w:rsid w:val="008947B8"/>
    <w:rsid w:val="008A0367"/>
    <w:rsid w:val="008A4334"/>
    <w:rsid w:val="008B1777"/>
    <w:rsid w:val="008B7F12"/>
    <w:rsid w:val="008C29E6"/>
    <w:rsid w:val="008C479E"/>
    <w:rsid w:val="008E24F1"/>
    <w:rsid w:val="008F34D6"/>
    <w:rsid w:val="008F7BE4"/>
    <w:rsid w:val="00910F3B"/>
    <w:rsid w:val="00916D37"/>
    <w:rsid w:val="00917173"/>
    <w:rsid w:val="009177F5"/>
    <w:rsid w:val="00920F3A"/>
    <w:rsid w:val="00922849"/>
    <w:rsid w:val="00924F05"/>
    <w:rsid w:val="00933418"/>
    <w:rsid w:val="00934BD4"/>
    <w:rsid w:val="0093666D"/>
    <w:rsid w:val="0094263A"/>
    <w:rsid w:val="00951825"/>
    <w:rsid w:val="00953728"/>
    <w:rsid w:val="00953C5A"/>
    <w:rsid w:val="0096140B"/>
    <w:rsid w:val="00963FB9"/>
    <w:rsid w:val="0096536E"/>
    <w:rsid w:val="0096596F"/>
    <w:rsid w:val="00972F28"/>
    <w:rsid w:val="00973A79"/>
    <w:rsid w:val="0097559D"/>
    <w:rsid w:val="00976767"/>
    <w:rsid w:val="00982DEA"/>
    <w:rsid w:val="00983D4F"/>
    <w:rsid w:val="00983F08"/>
    <w:rsid w:val="009841BE"/>
    <w:rsid w:val="00985EC6"/>
    <w:rsid w:val="00993797"/>
    <w:rsid w:val="009A1E26"/>
    <w:rsid w:val="009B1E80"/>
    <w:rsid w:val="009B26E4"/>
    <w:rsid w:val="009B2C9B"/>
    <w:rsid w:val="009B5543"/>
    <w:rsid w:val="009B5968"/>
    <w:rsid w:val="009C3BD1"/>
    <w:rsid w:val="009C5B4F"/>
    <w:rsid w:val="009D5454"/>
    <w:rsid w:val="009E10B3"/>
    <w:rsid w:val="009E6F83"/>
    <w:rsid w:val="009F4507"/>
    <w:rsid w:val="00A01CD3"/>
    <w:rsid w:val="00A03578"/>
    <w:rsid w:val="00A05433"/>
    <w:rsid w:val="00A05F47"/>
    <w:rsid w:val="00A132E2"/>
    <w:rsid w:val="00A15EFF"/>
    <w:rsid w:val="00A22135"/>
    <w:rsid w:val="00A25135"/>
    <w:rsid w:val="00A262A8"/>
    <w:rsid w:val="00A26F7F"/>
    <w:rsid w:val="00A271A0"/>
    <w:rsid w:val="00A5086B"/>
    <w:rsid w:val="00A5492B"/>
    <w:rsid w:val="00A60B6E"/>
    <w:rsid w:val="00A625BF"/>
    <w:rsid w:val="00A633B9"/>
    <w:rsid w:val="00A64429"/>
    <w:rsid w:val="00A64463"/>
    <w:rsid w:val="00A64584"/>
    <w:rsid w:val="00A67769"/>
    <w:rsid w:val="00A7361C"/>
    <w:rsid w:val="00A73A7D"/>
    <w:rsid w:val="00A76D92"/>
    <w:rsid w:val="00A81F60"/>
    <w:rsid w:val="00A85737"/>
    <w:rsid w:val="00A877BD"/>
    <w:rsid w:val="00A87E54"/>
    <w:rsid w:val="00A902C1"/>
    <w:rsid w:val="00A96F0C"/>
    <w:rsid w:val="00AA29FA"/>
    <w:rsid w:val="00AA588C"/>
    <w:rsid w:val="00AB0DF3"/>
    <w:rsid w:val="00AB1AE5"/>
    <w:rsid w:val="00AB301F"/>
    <w:rsid w:val="00AB7A80"/>
    <w:rsid w:val="00AB7CA7"/>
    <w:rsid w:val="00AC2B89"/>
    <w:rsid w:val="00AC3208"/>
    <w:rsid w:val="00AD0A0F"/>
    <w:rsid w:val="00AD3D71"/>
    <w:rsid w:val="00AD43CC"/>
    <w:rsid w:val="00AD65F3"/>
    <w:rsid w:val="00AE0969"/>
    <w:rsid w:val="00AF0F2D"/>
    <w:rsid w:val="00AF2EAF"/>
    <w:rsid w:val="00B02C4A"/>
    <w:rsid w:val="00B03DC9"/>
    <w:rsid w:val="00B04364"/>
    <w:rsid w:val="00B105B2"/>
    <w:rsid w:val="00B15A6C"/>
    <w:rsid w:val="00B24F25"/>
    <w:rsid w:val="00B26E30"/>
    <w:rsid w:val="00B272F7"/>
    <w:rsid w:val="00B30328"/>
    <w:rsid w:val="00B34D73"/>
    <w:rsid w:val="00B351B8"/>
    <w:rsid w:val="00B45ED1"/>
    <w:rsid w:val="00B51703"/>
    <w:rsid w:val="00B54104"/>
    <w:rsid w:val="00B54FFF"/>
    <w:rsid w:val="00B64200"/>
    <w:rsid w:val="00B65025"/>
    <w:rsid w:val="00B671BF"/>
    <w:rsid w:val="00B80DEA"/>
    <w:rsid w:val="00B83F06"/>
    <w:rsid w:val="00B841AB"/>
    <w:rsid w:val="00B96917"/>
    <w:rsid w:val="00B97614"/>
    <w:rsid w:val="00BA2309"/>
    <w:rsid w:val="00BA3D48"/>
    <w:rsid w:val="00BA45AE"/>
    <w:rsid w:val="00BA55B7"/>
    <w:rsid w:val="00BB3B19"/>
    <w:rsid w:val="00BB3D25"/>
    <w:rsid w:val="00BB72F0"/>
    <w:rsid w:val="00BB7B19"/>
    <w:rsid w:val="00BB7D22"/>
    <w:rsid w:val="00BC089D"/>
    <w:rsid w:val="00BC1E92"/>
    <w:rsid w:val="00BC361C"/>
    <w:rsid w:val="00BC6D56"/>
    <w:rsid w:val="00BD3057"/>
    <w:rsid w:val="00BD3520"/>
    <w:rsid w:val="00BD49DC"/>
    <w:rsid w:val="00BD5A35"/>
    <w:rsid w:val="00BD6D27"/>
    <w:rsid w:val="00BE0482"/>
    <w:rsid w:val="00BE20DD"/>
    <w:rsid w:val="00BE5E84"/>
    <w:rsid w:val="00BE7CC9"/>
    <w:rsid w:val="00BF0C6E"/>
    <w:rsid w:val="00BF69F3"/>
    <w:rsid w:val="00C0535D"/>
    <w:rsid w:val="00C133B5"/>
    <w:rsid w:val="00C14966"/>
    <w:rsid w:val="00C21DBC"/>
    <w:rsid w:val="00C22E14"/>
    <w:rsid w:val="00C231D7"/>
    <w:rsid w:val="00C26448"/>
    <w:rsid w:val="00C268D9"/>
    <w:rsid w:val="00C30F2D"/>
    <w:rsid w:val="00C31704"/>
    <w:rsid w:val="00C44AC8"/>
    <w:rsid w:val="00C4507A"/>
    <w:rsid w:val="00C56D6C"/>
    <w:rsid w:val="00C57A67"/>
    <w:rsid w:val="00C614EA"/>
    <w:rsid w:val="00C62C17"/>
    <w:rsid w:val="00C7220A"/>
    <w:rsid w:val="00C77541"/>
    <w:rsid w:val="00C84847"/>
    <w:rsid w:val="00C86E43"/>
    <w:rsid w:val="00C928B9"/>
    <w:rsid w:val="00C96E7F"/>
    <w:rsid w:val="00C975AA"/>
    <w:rsid w:val="00CA0090"/>
    <w:rsid w:val="00CA1937"/>
    <w:rsid w:val="00CC1845"/>
    <w:rsid w:val="00CC2A43"/>
    <w:rsid w:val="00CD18A1"/>
    <w:rsid w:val="00CD525F"/>
    <w:rsid w:val="00CD63D6"/>
    <w:rsid w:val="00CD7324"/>
    <w:rsid w:val="00CF03B8"/>
    <w:rsid w:val="00CF2784"/>
    <w:rsid w:val="00CF6CE6"/>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0077"/>
    <w:rsid w:val="00D7198C"/>
    <w:rsid w:val="00D72227"/>
    <w:rsid w:val="00D90302"/>
    <w:rsid w:val="00D97047"/>
    <w:rsid w:val="00DA5FE2"/>
    <w:rsid w:val="00DA62B6"/>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4B0E"/>
    <w:rsid w:val="00E05B59"/>
    <w:rsid w:val="00E07446"/>
    <w:rsid w:val="00E07EE0"/>
    <w:rsid w:val="00E101F1"/>
    <w:rsid w:val="00E1269A"/>
    <w:rsid w:val="00E14EC8"/>
    <w:rsid w:val="00E1642E"/>
    <w:rsid w:val="00E169B7"/>
    <w:rsid w:val="00E16D22"/>
    <w:rsid w:val="00E23183"/>
    <w:rsid w:val="00E263A1"/>
    <w:rsid w:val="00E27EA1"/>
    <w:rsid w:val="00E31340"/>
    <w:rsid w:val="00E366B6"/>
    <w:rsid w:val="00E36B79"/>
    <w:rsid w:val="00E53D05"/>
    <w:rsid w:val="00E562F3"/>
    <w:rsid w:val="00E60873"/>
    <w:rsid w:val="00E61E67"/>
    <w:rsid w:val="00E62119"/>
    <w:rsid w:val="00E62823"/>
    <w:rsid w:val="00E65EC2"/>
    <w:rsid w:val="00E67805"/>
    <w:rsid w:val="00E8314F"/>
    <w:rsid w:val="00E872C2"/>
    <w:rsid w:val="00E94705"/>
    <w:rsid w:val="00E94C68"/>
    <w:rsid w:val="00E96F82"/>
    <w:rsid w:val="00EA15D1"/>
    <w:rsid w:val="00EB10E1"/>
    <w:rsid w:val="00EB2605"/>
    <w:rsid w:val="00EB7ACD"/>
    <w:rsid w:val="00EC0600"/>
    <w:rsid w:val="00ED6C3B"/>
    <w:rsid w:val="00EE0ADA"/>
    <w:rsid w:val="00EE130A"/>
    <w:rsid w:val="00EE1450"/>
    <w:rsid w:val="00EE1F5B"/>
    <w:rsid w:val="00EE37B2"/>
    <w:rsid w:val="00EE3A06"/>
    <w:rsid w:val="00EE4871"/>
    <w:rsid w:val="00EE489A"/>
    <w:rsid w:val="00EF3A5F"/>
    <w:rsid w:val="00EF547F"/>
    <w:rsid w:val="00F0273E"/>
    <w:rsid w:val="00F028E3"/>
    <w:rsid w:val="00F02EB4"/>
    <w:rsid w:val="00F05AE7"/>
    <w:rsid w:val="00F061D4"/>
    <w:rsid w:val="00F10880"/>
    <w:rsid w:val="00F16CB5"/>
    <w:rsid w:val="00F17576"/>
    <w:rsid w:val="00F35201"/>
    <w:rsid w:val="00F3589A"/>
    <w:rsid w:val="00F358DD"/>
    <w:rsid w:val="00F411B0"/>
    <w:rsid w:val="00F416D4"/>
    <w:rsid w:val="00F44F70"/>
    <w:rsid w:val="00F52E10"/>
    <w:rsid w:val="00F5308E"/>
    <w:rsid w:val="00F62596"/>
    <w:rsid w:val="00F71A63"/>
    <w:rsid w:val="00F7510A"/>
    <w:rsid w:val="00F80327"/>
    <w:rsid w:val="00F8075F"/>
    <w:rsid w:val="00F814FC"/>
    <w:rsid w:val="00F8171A"/>
    <w:rsid w:val="00F83691"/>
    <w:rsid w:val="00F84D63"/>
    <w:rsid w:val="00F95728"/>
    <w:rsid w:val="00F965E1"/>
    <w:rsid w:val="00FA18B2"/>
    <w:rsid w:val="00FA2219"/>
    <w:rsid w:val="00FA24AA"/>
    <w:rsid w:val="00FA3431"/>
    <w:rsid w:val="00FB373F"/>
    <w:rsid w:val="00FB479D"/>
    <w:rsid w:val="00FC1879"/>
    <w:rsid w:val="00FD084F"/>
    <w:rsid w:val="00FD3490"/>
    <w:rsid w:val="00FD6A44"/>
    <w:rsid w:val="00FD70EE"/>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3B6B3CD-0438-48E2-A881-F095CE57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E"/>
    <w:pPr>
      <w:spacing w:after="200" w:line="276" w:lineRule="auto"/>
    </w:pPr>
    <w:rPr>
      <w:sz w:val="22"/>
      <w:szCs w:val="22"/>
      <w:lang w:val="en-US" w:eastAsia="en-US"/>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7" Type="http://schemas.openxmlformats.org/officeDocument/2006/relationships/endnotes" Target="endnotes.xml"/><Relationship Id="rId12" Type="http://schemas.openxmlformats.org/officeDocument/2006/relationships/hyperlink" Target="http://haciendarespondekb.respondcrm.com/HaciendaDocs/Codigo%20de%20Rentas%20Internas%2011-19-2014/Codigo%20de%20Rentas%20Internas%2011-19-2014.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gobierno.pr/publicaciones/carta-circular-de-rentas-internas-num-14-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338AF3C9-2E25-4D57-8DEB-2AAF7F5A0F1C}"/>
</file>

<file path=customXml/itemProps2.xml><?xml version="1.0" encoding="utf-8"?>
<ds:datastoreItem xmlns:ds="http://schemas.openxmlformats.org/officeDocument/2006/customXml" ds:itemID="{591A97F8-129E-4C71-B515-C82EC03EB943}"/>
</file>

<file path=customXml/itemProps3.xml><?xml version="1.0" encoding="utf-8"?>
<ds:datastoreItem xmlns:ds="http://schemas.openxmlformats.org/officeDocument/2006/customXml" ds:itemID="{82447439-E5CB-4739-8CC4-916995060DE2}"/>
</file>

<file path=customXml/itemProps4.xml><?xml version="1.0" encoding="utf-8"?>
<ds:datastoreItem xmlns:ds="http://schemas.openxmlformats.org/officeDocument/2006/customXml" ds:itemID="{821463C4-01C4-440C-8148-24B3330FE4FB}"/>
</file>

<file path=docProps/app.xml><?xml version="1.0" encoding="utf-8"?>
<Properties xmlns="http://schemas.openxmlformats.org/officeDocument/2006/extended-properties" xmlns:vt="http://schemas.openxmlformats.org/officeDocument/2006/docPropsVTypes">
  <Template>Normal.dotm</Template>
  <TotalTime>529</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Informacion sobre Fianza (PICO)</vt:lpstr>
    </vt:vector>
  </TitlesOfParts>
  <Company>Area de Rentas Internas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 sobre Fianza (PICO)</dc:title>
  <dc:subject>Referido</dc:subject>
  <dc:creator>Amilcar Canales Domenech</dc:creator>
  <cp:keywords>NIC</cp:keywords>
  <cp:lastModifiedBy>Neftalí Rivera Ortiz</cp:lastModifiedBy>
  <cp:revision>25</cp:revision>
  <cp:lastPrinted>2015-04-16T19:10:00Z</cp:lastPrinted>
  <dcterms:created xsi:type="dcterms:W3CDTF">2015-04-27T20:11:00Z</dcterms:created>
  <dcterms:modified xsi:type="dcterms:W3CDTF">2015-09-29T22:30:00Z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