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1F50AF" w:rsidTr="00CC2660">
        <w:trPr>
          <w:trHeight w:val="499"/>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591CEE">
            <w:pPr>
              <w:pStyle w:val="NormalWeb"/>
              <w:rPr>
                <w:color w:val="000000"/>
                <w:sz w:val="20"/>
                <w:szCs w:val="20"/>
                <w:lang w:val="es-PR"/>
              </w:rPr>
            </w:pPr>
            <w:r>
              <w:rPr>
                <w:noProof/>
              </w:rPr>
              <w:drawing>
                <wp:inline distT="0" distB="0" distL="0" distR="0">
                  <wp:extent cx="247650" cy="285750"/>
                  <wp:effectExtent l="19050" t="0" r="0" b="0"/>
                  <wp:docPr id="1"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8"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Información sobre </w:t>
            </w:r>
            <w:r w:rsidR="00C42F34">
              <w:rPr>
                <w:rFonts w:ascii="Times New Roman" w:eastAsiaTheme="minorHAnsi" w:hAnsi="Times New Roman"/>
                <w:b/>
                <w:sz w:val="28"/>
                <w:szCs w:val="28"/>
                <w:lang w:val="es-PR"/>
              </w:rPr>
              <w:t>el s</w:t>
            </w:r>
            <w:r w:rsidR="004979AF" w:rsidRPr="001F50AF">
              <w:rPr>
                <w:rFonts w:ascii="Times New Roman" w:eastAsiaTheme="minorHAnsi" w:hAnsi="Times New Roman"/>
                <w:b/>
                <w:sz w:val="28"/>
                <w:szCs w:val="28"/>
                <w:lang w:val="es-PR"/>
              </w:rPr>
              <w:t xml:space="preserve">ervicio </w:t>
            </w:r>
          </w:p>
        </w:tc>
      </w:tr>
    </w:tbl>
    <w:p w:rsidR="00B078D2" w:rsidRDefault="009517CE" w:rsidP="00C42F34">
      <w:pPr>
        <w:pStyle w:val="ListParagraph"/>
        <w:numPr>
          <w:ilvl w:val="0"/>
          <w:numId w:val="35"/>
        </w:numPr>
        <w:spacing w:before="120" w:after="120" w:line="240" w:lineRule="auto"/>
        <w:rPr>
          <w:rFonts w:ascii="Times New Roman" w:hAnsi="Times New Roman"/>
          <w:sz w:val="24"/>
          <w:szCs w:val="24"/>
          <w:lang w:val="es-PR"/>
        </w:rPr>
      </w:pPr>
      <w:r w:rsidRPr="009517CE">
        <w:rPr>
          <w:rFonts w:ascii="Times New Roman" w:hAnsi="Times New Roman"/>
          <w:sz w:val="24"/>
          <w:szCs w:val="24"/>
          <w:lang w:val="es-PR"/>
        </w:rPr>
        <w:t>La planilla de Ca</w:t>
      </w:r>
      <w:r>
        <w:rPr>
          <w:rFonts w:ascii="Times New Roman" w:hAnsi="Times New Roman"/>
          <w:sz w:val="24"/>
          <w:szCs w:val="24"/>
          <w:lang w:val="es-PR"/>
        </w:rPr>
        <w:t>uda</w:t>
      </w:r>
      <w:r w:rsidR="00C354F7">
        <w:rPr>
          <w:rFonts w:ascii="Times New Roman" w:hAnsi="Times New Roman"/>
          <w:sz w:val="24"/>
          <w:szCs w:val="24"/>
          <w:lang w:val="es-PR"/>
        </w:rPr>
        <w:t>l Relicto se utiliza cuando un r</w:t>
      </w:r>
      <w:r>
        <w:rPr>
          <w:rFonts w:ascii="Times New Roman" w:hAnsi="Times New Roman"/>
          <w:sz w:val="24"/>
          <w:szCs w:val="24"/>
          <w:lang w:val="es-PR"/>
        </w:rPr>
        <w:t>esidente</w:t>
      </w:r>
      <w:r w:rsidR="0058504B">
        <w:rPr>
          <w:rFonts w:ascii="Times New Roman" w:hAnsi="Times New Roman"/>
          <w:sz w:val="24"/>
          <w:szCs w:val="24"/>
          <w:lang w:val="es-PR"/>
        </w:rPr>
        <w:t xml:space="preserve"> de Puerto Rico</w:t>
      </w:r>
      <w:r>
        <w:rPr>
          <w:rFonts w:ascii="Times New Roman" w:hAnsi="Times New Roman"/>
          <w:sz w:val="24"/>
          <w:szCs w:val="24"/>
          <w:lang w:val="es-PR"/>
        </w:rPr>
        <w:t xml:space="preserve"> fallece entre </w:t>
      </w:r>
      <w:r w:rsidRPr="009517CE">
        <w:rPr>
          <w:rFonts w:ascii="Times New Roman" w:hAnsi="Times New Roman"/>
          <w:sz w:val="24"/>
          <w:szCs w:val="24"/>
          <w:lang w:val="es-PR"/>
        </w:rPr>
        <w:t xml:space="preserve">el 31 de </w:t>
      </w:r>
      <w:r>
        <w:rPr>
          <w:rFonts w:ascii="Times New Roman" w:hAnsi="Times New Roman"/>
          <w:sz w:val="24"/>
          <w:szCs w:val="24"/>
          <w:lang w:val="es-PR"/>
        </w:rPr>
        <w:t>di</w:t>
      </w:r>
      <w:r w:rsidRPr="009517CE">
        <w:rPr>
          <w:rFonts w:ascii="Times New Roman" w:hAnsi="Times New Roman"/>
          <w:sz w:val="24"/>
          <w:szCs w:val="24"/>
          <w:lang w:val="es-PR"/>
        </w:rPr>
        <w:t>ciembre de 2010 hasta el presente</w:t>
      </w:r>
      <w:r>
        <w:rPr>
          <w:rFonts w:ascii="Times New Roman" w:hAnsi="Times New Roman"/>
          <w:sz w:val="24"/>
          <w:szCs w:val="24"/>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48"/>
      </w:tblGrid>
      <w:tr w:rsidR="00F44F70" w:rsidRPr="001F50AF" w:rsidTr="00CC36C2">
        <w:trPr>
          <w:trHeight w:val="495"/>
        </w:trPr>
        <w:tc>
          <w:tcPr>
            <w:tcW w:w="81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1F50AF" w:rsidRDefault="00C81510" w:rsidP="00F3589A">
            <w:pPr>
              <w:pStyle w:val="NormalWeb"/>
              <w:rPr>
                <w:color w:val="000000"/>
                <w:sz w:val="20"/>
                <w:szCs w:val="20"/>
                <w:lang w:val="es-PR"/>
              </w:rPr>
            </w:pPr>
            <w:r>
              <w:rPr>
                <w:noProof/>
                <w:color w:val="000000"/>
              </w:rPr>
              <w:drawing>
                <wp:inline distT="0" distB="0" distL="0" distR="0">
                  <wp:extent cx="352425" cy="228600"/>
                  <wp:effectExtent l="19050" t="0" r="9525" b="0"/>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48" w:type="dxa"/>
            <w:tcBorders>
              <w:left w:val="single" w:sz="4" w:space="0" w:color="auto"/>
            </w:tcBorders>
            <w:shd w:val="clear" w:color="auto" w:fill="F79646" w:themeFill="accent6"/>
            <w:vAlign w:val="center"/>
          </w:tcPr>
          <w:p w:rsidR="00F44F70" w:rsidRPr="001F50AF" w:rsidRDefault="00B44B26" w:rsidP="005B0EA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4"/>
                <w:lang w:val="es-PR"/>
              </w:rPr>
              <w:t>Clasificación del</w:t>
            </w:r>
            <w:r w:rsidR="00C42F34">
              <w:rPr>
                <w:rFonts w:ascii="Times New Roman" w:eastAsiaTheme="minorHAnsi" w:hAnsi="Times New Roman"/>
                <w:b/>
                <w:sz w:val="28"/>
                <w:szCs w:val="24"/>
                <w:lang w:val="es-PR"/>
              </w:rPr>
              <w:t xml:space="preserve"> c</w:t>
            </w:r>
            <w:r>
              <w:rPr>
                <w:rFonts w:ascii="Times New Roman" w:eastAsiaTheme="minorHAnsi" w:hAnsi="Times New Roman"/>
                <w:b/>
                <w:sz w:val="28"/>
                <w:szCs w:val="24"/>
                <w:lang w:val="es-PR"/>
              </w:rPr>
              <w:t>ontribuyente</w:t>
            </w:r>
          </w:p>
        </w:tc>
      </w:tr>
    </w:tbl>
    <w:p w:rsidR="009517CE" w:rsidRPr="00C42F34" w:rsidRDefault="009517CE" w:rsidP="00C42F34">
      <w:pPr>
        <w:pStyle w:val="ListParagraph"/>
        <w:numPr>
          <w:ilvl w:val="0"/>
          <w:numId w:val="44"/>
        </w:numPr>
        <w:spacing w:before="120" w:after="120" w:line="240" w:lineRule="auto"/>
        <w:rPr>
          <w:rFonts w:ascii="Times New Roman" w:hAnsi="Times New Roman"/>
          <w:color w:val="000000"/>
          <w:sz w:val="24"/>
          <w:szCs w:val="24"/>
          <w:lang w:val="es-PR"/>
        </w:rPr>
      </w:pPr>
      <w:r w:rsidRPr="00C42F34">
        <w:rPr>
          <w:rFonts w:ascii="Times New Roman" w:eastAsiaTheme="minorHAnsi" w:hAnsi="Times New Roman"/>
          <w:sz w:val="24"/>
          <w:szCs w:val="24"/>
          <w:lang w:val="es-PR"/>
        </w:rPr>
        <w:t>Indiv</w:t>
      </w:r>
      <w:r w:rsidR="007B6BB3" w:rsidRPr="00C42F34">
        <w:rPr>
          <w:rFonts w:ascii="Times New Roman" w:eastAsiaTheme="minorHAnsi" w:hAnsi="Times New Roman"/>
          <w:sz w:val="24"/>
          <w:szCs w:val="24"/>
          <w:lang w:val="es-PR"/>
        </w:rPr>
        <w:t>i</w:t>
      </w:r>
      <w:r w:rsidR="00C11B9A" w:rsidRPr="00C42F34">
        <w:rPr>
          <w:rFonts w:ascii="Times New Roman" w:eastAsiaTheme="minorHAnsi" w:hAnsi="Times New Roman"/>
          <w:sz w:val="24"/>
          <w:szCs w:val="24"/>
          <w:lang w:val="es-PR"/>
        </w:rPr>
        <w:t xml:space="preserve">duos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4A5AAE" w:rsidRPr="00DD2BC9" w:rsidTr="007F66D9">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1F50AF" w:rsidRDefault="00C81510" w:rsidP="00F3589A">
            <w:pPr>
              <w:pStyle w:val="NormalWeb"/>
              <w:rPr>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591CEE" w:rsidRPr="001F50AF" w:rsidRDefault="00C81510" w:rsidP="00A625BF">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C42F34">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7F66D9" w:rsidRDefault="007F66D9" w:rsidP="00CE341D">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r w:rsidRPr="00396981">
        <w:rPr>
          <w:rFonts w:ascii="Times New Roman" w:hAnsi="Times New Roman"/>
          <w:b/>
          <w:color w:val="000000"/>
          <w:sz w:val="24"/>
          <w:szCs w:val="24"/>
          <w:lang w:val="es-PR"/>
        </w:rPr>
        <w:t>Anejo A- Determinación de la Base Ajustada y Caudal Relicto Neto</w:t>
      </w:r>
    </w:p>
    <w:p w:rsidR="00C354F7" w:rsidRPr="00C354F7" w:rsidRDefault="00C354F7" w:rsidP="00CE341D">
      <w:pPr>
        <w:pStyle w:val="ListParagraph"/>
        <w:numPr>
          <w:ilvl w:val="1"/>
          <w:numId w:val="34"/>
        </w:numPr>
        <w:shd w:val="clear" w:color="auto" w:fill="FFFFFF"/>
        <w:spacing w:before="120" w:after="120" w:line="240" w:lineRule="auto"/>
        <w:rPr>
          <w:rFonts w:ascii="Times New Roman" w:hAnsi="Times New Roman"/>
          <w:color w:val="000000"/>
          <w:sz w:val="24"/>
          <w:szCs w:val="24"/>
          <w:lang w:val="es-PR"/>
        </w:rPr>
      </w:pPr>
      <w:r w:rsidRPr="00C354F7">
        <w:rPr>
          <w:rFonts w:ascii="Times New Roman" w:hAnsi="Times New Roman"/>
          <w:color w:val="000000"/>
          <w:sz w:val="24"/>
          <w:szCs w:val="24"/>
          <w:lang w:val="es-PR"/>
        </w:rPr>
        <w:t>Los bienes detallados en los Anejos B y C serán trasladados al Anejo A, según identificados por número de partida, para determinar el caudal relicto neto de la exención fija y la deducción con respecto a propiedades localizadas en Puerto Rico. Además, en este anejo se determinará la base ajustada de las propiedades, lo cual servirá de referencia para la posterior venta o permuta de las mismas.</w:t>
      </w:r>
    </w:p>
    <w:p w:rsidR="00396981" w:rsidRDefault="007F66D9" w:rsidP="00CE341D">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r w:rsidRPr="00396981">
        <w:rPr>
          <w:rFonts w:ascii="Times New Roman" w:hAnsi="Times New Roman"/>
          <w:b/>
          <w:color w:val="000000"/>
          <w:sz w:val="24"/>
          <w:szCs w:val="24"/>
          <w:lang w:val="es-PR"/>
        </w:rPr>
        <w:t>Anejo B- Bienes Raíces</w:t>
      </w:r>
    </w:p>
    <w:p w:rsidR="007F66D9" w:rsidRPr="00C354F7" w:rsidRDefault="00C354F7" w:rsidP="00CE341D">
      <w:pPr>
        <w:pStyle w:val="ListParagraph"/>
        <w:numPr>
          <w:ilvl w:val="1"/>
          <w:numId w:val="34"/>
        </w:numPr>
        <w:shd w:val="clear" w:color="auto" w:fill="FFFFFF"/>
        <w:spacing w:before="120" w:after="120" w:line="240" w:lineRule="auto"/>
        <w:rPr>
          <w:rFonts w:ascii="Times New Roman" w:hAnsi="Times New Roman"/>
          <w:color w:val="000000"/>
          <w:sz w:val="24"/>
          <w:szCs w:val="24"/>
          <w:lang w:val="es-PR"/>
        </w:rPr>
      </w:pPr>
      <w:r w:rsidRPr="00C354F7">
        <w:rPr>
          <w:rFonts w:ascii="Times New Roman" w:hAnsi="Times New Roman"/>
          <w:color w:val="000000"/>
          <w:sz w:val="24"/>
          <w:szCs w:val="24"/>
          <w:lang w:val="es-PR"/>
        </w:rPr>
        <w:t>Indicar la localización, cabida según título o registro, y anotación de la inscripción en el Registro de la Propiedad. Anotar también el número de catastro en la columna correspondiente.</w:t>
      </w:r>
    </w:p>
    <w:p w:rsidR="007F66D9" w:rsidRDefault="007F66D9" w:rsidP="00CE341D">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r w:rsidRPr="00396981">
        <w:rPr>
          <w:rFonts w:ascii="Times New Roman" w:hAnsi="Times New Roman"/>
          <w:b/>
          <w:color w:val="000000"/>
          <w:sz w:val="24"/>
          <w:szCs w:val="24"/>
          <w:lang w:val="es-PR"/>
        </w:rPr>
        <w:t>Anejo C-Otras Propiedades (Acciones, Bonos, Hipotecas, Pagarés, Efectivo en Bancos y Otras Propiedades)</w:t>
      </w:r>
    </w:p>
    <w:p w:rsidR="00C354F7" w:rsidRPr="000C67EF" w:rsidRDefault="00C354F7" w:rsidP="00CE341D">
      <w:pPr>
        <w:pStyle w:val="ListParagraph"/>
        <w:numPr>
          <w:ilvl w:val="0"/>
          <w:numId w:val="41"/>
        </w:numPr>
        <w:shd w:val="clear" w:color="auto" w:fill="FFFFFF"/>
        <w:spacing w:before="120" w:after="120" w:line="240" w:lineRule="auto"/>
        <w:rPr>
          <w:rFonts w:ascii="Times New Roman" w:hAnsi="Times New Roman"/>
          <w:b/>
          <w:color w:val="000000"/>
          <w:sz w:val="24"/>
          <w:szCs w:val="24"/>
          <w:lang w:val="es-PR"/>
        </w:rPr>
      </w:pPr>
      <w:r w:rsidRPr="000C67EF">
        <w:rPr>
          <w:rFonts w:ascii="Times New Roman" w:hAnsi="Times New Roman"/>
          <w:color w:val="000000"/>
          <w:sz w:val="24"/>
          <w:szCs w:val="24"/>
          <w:lang w:val="es-PR"/>
        </w:rPr>
        <w:t>Indicar el nombre de la institución, número de cuenta, detalle de la inversión y especificar si la inversi</w:t>
      </w:r>
      <w:r w:rsidRPr="000C67EF">
        <w:rPr>
          <w:rFonts w:ascii="Times New Roman" w:eastAsia="MS Mincho" w:hAnsi="Times New Roman"/>
          <w:color w:val="000000"/>
          <w:sz w:val="24"/>
          <w:szCs w:val="24"/>
          <w:lang w:val="es-PR"/>
        </w:rPr>
        <w:t>ón se considera propiedad localizada dentro o fuera de Puerto Rico. Indicar el nombre de la institución financiera, número de la cuenta y sucursal donde estén depositados. Indicar otras propiedades no incluidas en los incisos anteriores.</w:t>
      </w:r>
    </w:p>
    <w:p w:rsidR="007F66D9" w:rsidRDefault="007F66D9" w:rsidP="00CE341D">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r w:rsidRPr="00396981">
        <w:rPr>
          <w:rFonts w:ascii="Times New Roman" w:hAnsi="Times New Roman"/>
          <w:b/>
          <w:color w:val="000000"/>
          <w:sz w:val="24"/>
          <w:szCs w:val="24"/>
          <w:lang w:val="es-PR"/>
        </w:rPr>
        <w:t>Anejo D-Detalle de las Deducciones y Bajas del Caudal Relicto</w:t>
      </w:r>
    </w:p>
    <w:p w:rsidR="00410854" w:rsidRPr="000C67EF" w:rsidRDefault="00913AC2" w:rsidP="00CE341D">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sidRPr="000C67EF">
        <w:rPr>
          <w:rFonts w:ascii="Times New Roman" w:hAnsi="Times New Roman"/>
          <w:color w:val="000000"/>
          <w:sz w:val="24"/>
          <w:szCs w:val="24"/>
          <w:lang w:val="es-PR"/>
        </w:rPr>
        <w:t xml:space="preserve">Las </w:t>
      </w:r>
      <w:r w:rsidR="002058B4" w:rsidRPr="000C67EF">
        <w:rPr>
          <w:rFonts w:ascii="Times New Roman" w:hAnsi="Times New Roman"/>
          <w:color w:val="000000"/>
          <w:sz w:val="24"/>
          <w:szCs w:val="24"/>
          <w:lang w:val="es-PR"/>
        </w:rPr>
        <w:t>partidas enumeradas en este anejo</w:t>
      </w:r>
      <w:r w:rsidRPr="000C67EF">
        <w:rPr>
          <w:rFonts w:ascii="Times New Roman" w:hAnsi="Times New Roman"/>
          <w:color w:val="000000"/>
          <w:sz w:val="24"/>
          <w:szCs w:val="24"/>
          <w:lang w:val="es-PR"/>
        </w:rPr>
        <w:t xml:space="preserve"> serán deducibles del caudal relicto neto. </w:t>
      </w:r>
      <w:r w:rsidR="000C67EF">
        <w:rPr>
          <w:rFonts w:ascii="Times New Roman" w:hAnsi="Times New Roman"/>
          <w:color w:val="000000"/>
          <w:sz w:val="24"/>
          <w:szCs w:val="24"/>
          <w:lang w:val="es-PR"/>
        </w:rPr>
        <w:t xml:space="preserve">Estos son: </w:t>
      </w:r>
      <w:r w:rsidRPr="000C67EF">
        <w:rPr>
          <w:rFonts w:ascii="Times New Roman" w:hAnsi="Times New Roman"/>
          <w:color w:val="000000"/>
          <w:sz w:val="24"/>
          <w:szCs w:val="24"/>
          <w:lang w:val="es-PR"/>
        </w:rPr>
        <w:t>Deudas del causante</w:t>
      </w:r>
      <w:r w:rsidR="002058B4" w:rsidRPr="000C67EF">
        <w:rPr>
          <w:rFonts w:ascii="Times New Roman" w:hAnsi="Times New Roman"/>
          <w:color w:val="000000"/>
          <w:sz w:val="24"/>
          <w:szCs w:val="24"/>
          <w:lang w:val="es-PR"/>
        </w:rPr>
        <w:t>, c</w:t>
      </w:r>
      <w:r w:rsidRPr="000C67EF">
        <w:rPr>
          <w:rFonts w:ascii="Times New Roman" w:hAnsi="Times New Roman"/>
          <w:color w:val="000000"/>
          <w:sz w:val="24"/>
          <w:szCs w:val="24"/>
          <w:lang w:val="es-PR"/>
        </w:rPr>
        <w:t>ontribuciones</w:t>
      </w:r>
      <w:r w:rsidR="002058B4" w:rsidRPr="000C67EF">
        <w:rPr>
          <w:rFonts w:ascii="Times New Roman" w:hAnsi="Times New Roman"/>
          <w:color w:val="000000"/>
          <w:sz w:val="24"/>
          <w:szCs w:val="24"/>
          <w:lang w:val="es-PR"/>
        </w:rPr>
        <w:t>, h</w:t>
      </w:r>
      <w:r w:rsidRPr="000C67EF">
        <w:rPr>
          <w:rFonts w:ascii="Times New Roman" w:hAnsi="Times New Roman"/>
          <w:color w:val="000000"/>
          <w:sz w:val="24"/>
          <w:szCs w:val="24"/>
          <w:lang w:val="es-PR"/>
        </w:rPr>
        <w:t>ipotecas</w:t>
      </w:r>
      <w:r w:rsidR="002058B4" w:rsidRPr="000C67EF">
        <w:rPr>
          <w:rFonts w:ascii="Times New Roman" w:hAnsi="Times New Roman"/>
          <w:color w:val="000000"/>
          <w:sz w:val="24"/>
          <w:szCs w:val="24"/>
          <w:lang w:val="es-PR"/>
        </w:rPr>
        <w:t>, g</w:t>
      </w:r>
      <w:r w:rsidRPr="000C67EF">
        <w:rPr>
          <w:rFonts w:ascii="Times New Roman" w:hAnsi="Times New Roman"/>
          <w:color w:val="000000"/>
          <w:sz w:val="24"/>
          <w:szCs w:val="24"/>
          <w:lang w:val="es-PR"/>
        </w:rPr>
        <w:t>astos funerales</w:t>
      </w:r>
      <w:r w:rsidR="002058B4" w:rsidRPr="000C67EF">
        <w:rPr>
          <w:rFonts w:ascii="Times New Roman" w:hAnsi="Times New Roman"/>
          <w:color w:val="000000"/>
          <w:sz w:val="24"/>
          <w:szCs w:val="24"/>
          <w:lang w:val="es-PR"/>
        </w:rPr>
        <w:t>, p</w:t>
      </w:r>
      <w:r w:rsidRPr="000C67EF">
        <w:rPr>
          <w:rFonts w:ascii="Times New Roman" w:hAnsi="Times New Roman"/>
          <w:color w:val="000000"/>
          <w:sz w:val="24"/>
          <w:szCs w:val="24"/>
          <w:lang w:val="es-PR"/>
        </w:rPr>
        <w:t>érdidas fortuitas</w:t>
      </w:r>
      <w:r w:rsidR="00410854" w:rsidRPr="000C67EF">
        <w:rPr>
          <w:rFonts w:ascii="Times New Roman" w:hAnsi="Times New Roman"/>
          <w:color w:val="000000"/>
          <w:sz w:val="24"/>
          <w:szCs w:val="24"/>
          <w:lang w:val="es-PR"/>
        </w:rPr>
        <w:t xml:space="preserve"> no compensadas por seguro o en otra forma</w:t>
      </w:r>
      <w:r w:rsidR="002058B4" w:rsidRPr="000C67EF">
        <w:rPr>
          <w:rFonts w:ascii="Times New Roman" w:hAnsi="Times New Roman"/>
          <w:color w:val="000000"/>
          <w:sz w:val="24"/>
          <w:szCs w:val="24"/>
          <w:lang w:val="es-PR"/>
        </w:rPr>
        <w:t>, h</w:t>
      </w:r>
      <w:r w:rsidR="00410854" w:rsidRPr="000C67EF">
        <w:rPr>
          <w:rFonts w:ascii="Times New Roman" w:hAnsi="Times New Roman"/>
          <w:color w:val="000000"/>
          <w:sz w:val="24"/>
          <w:szCs w:val="24"/>
          <w:lang w:val="es-PR"/>
        </w:rPr>
        <w:t>onorarios</w:t>
      </w:r>
      <w:r w:rsidR="002058B4" w:rsidRPr="000C67EF">
        <w:rPr>
          <w:rFonts w:ascii="Times New Roman" w:hAnsi="Times New Roman"/>
          <w:color w:val="000000"/>
          <w:sz w:val="24"/>
          <w:szCs w:val="24"/>
          <w:lang w:val="es-PR"/>
        </w:rPr>
        <w:t>, b</w:t>
      </w:r>
      <w:r w:rsidR="00410854" w:rsidRPr="000C67EF">
        <w:rPr>
          <w:rFonts w:ascii="Times New Roman" w:hAnsi="Times New Roman"/>
          <w:color w:val="000000"/>
          <w:sz w:val="24"/>
          <w:szCs w:val="24"/>
          <w:lang w:val="es-PR"/>
        </w:rPr>
        <w:t xml:space="preserve">ienes recibidos por el cónyuge </w:t>
      </w:r>
      <w:r w:rsidR="000C67EF" w:rsidRPr="000C67EF">
        <w:rPr>
          <w:rFonts w:ascii="Times New Roman" w:hAnsi="Times New Roman"/>
          <w:color w:val="000000"/>
          <w:sz w:val="24"/>
          <w:szCs w:val="24"/>
          <w:lang w:val="es-PR"/>
        </w:rPr>
        <w:t>supérstite</w:t>
      </w:r>
      <w:r w:rsidR="000C67EF">
        <w:rPr>
          <w:rFonts w:ascii="Times New Roman" w:hAnsi="Times New Roman"/>
          <w:color w:val="000000"/>
          <w:sz w:val="24"/>
          <w:szCs w:val="24"/>
          <w:lang w:val="es-PR"/>
        </w:rPr>
        <w:t xml:space="preserve"> (sobreviviente)</w:t>
      </w:r>
      <w:r w:rsidR="000C67EF" w:rsidRPr="000C67EF">
        <w:rPr>
          <w:rFonts w:ascii="Times New Roman" w:hAnsi="Times New Roman"/>
          <w:color w:val="000000"/>
          <w:sz w:val="24"/>
          <w:szCs w:val="24"/>
          <w:lang w:val="es-PR"/>
        </w:rPr>
        <w:t>, y, c</w:t>
      </w:r>
      <w:r w:rsidR="00410854" w:rsidRPr="000C67EF">
        <w:rPr>
          <w:rFonts w:ascii="Times New Roman" w:hAnsi="Times New Roman"/>
          <w:color w:val="000000"/>
          <w:sz w:val="24"/>
          <w:szCs w:val="24"/>
          <w:lang w:val="es-PR"/>
        </w:rPr>
        <w:t>audales invertidos o que se inviertan en actividades que propendan al mayor desarrollo de la economía de Puerto Rico</w:t>
      </w:r>
    </w:p>
    <w:p w:rsidR="007F66D9" w:rsidRDefault="007F66D9" w:rsidP="00CE341D">
      <w:pPr>
        <w:pStyle w:val="ListParagraph"/>
        <w:numPr>
          <w:ilvl w:val="0"/>
          <w:numId w:val="34"/>
        </w:numPr>
        <w:shd w:val="clear" w:color="auto" w:fill="FFFFFF"/>
        <w:spacing w:before="120" w:after="120" w:line="240" w:lineRule="auto"/>
        <w:rPr>
          <w:rFonts w:ascii="Times New Roman" w:hAnsi="Times New Roman"/>
          <w:b/>
          <w:color w:val="000000"/>
          <w:sz w:val="24"/>
          <w:szCs w:val="24"/>
          <w:lang w:val="es-PR"/>
        </w:rPr>
      </w:pPr>
      <w:r w:rsidRPr="00396981">
        <w:rPr>
          <w:rFonts w:ascii="Times New Roman" w:hAnsi="Times New Roman"/>
          <w:b/>
          <w:color w:val="000000"/>
          <w:sz w:val="24"/>
          <w:szCs w:val="24"/>
          <w:lang w:val="es-PR"/>
        </w:rPr>
        <w:t>Anejo E-Detalle de Bienes Cuya Información Está incompleta</w:t>
      </w:r>
    </w:p>
    <w:p w:rsidR="004D4BE4" w:rsidRDefault="00410854" w:rsidP="00C11B9A">
      <w:pPr>
        <w:pStyle w:val="ListParagraph"/>
        <w:numPr>
          <w:ilvl w:val="0"/>
          <w:numId w:val="40"/>
        </w:numPr>
        <w:shd w:val="clear" w:color="auto" w:fill="FFFFFF"/>
        <w:spacing w:before="120" w:after="120" w:line="240" w:lineRule="auto"/>
        <w:rPr>
          <w:rFonts w:ascii="Times New Roman" w:hAnsi="Times New Roman"/>
          <w:color w:val="000000"/>
          <w:sz w:val="24"/>
          <w:szCs w:val="24"/>
          <w:lang w:val="es-PR"/>
        </w:rPr>
      </w:pPr>
      <w:r w:rsidRPr="000C67EF">
        <w:rPr>
          <w:rFonts w:ascii="Times New Roman" w:hAnsi="Times New Roman"/>
          <w:color w:val="000000"/>
          <w:sz w:val="24"/>
          <w:szCs w:val="24"/>
          <w:lang w:val="es-PR"/>
        </w:rPr>
        <w:t xml:space="preserve">Si el Administrador no pudiere rendir una planilla final completa en lo referente a alguna parte del caudal relicto bruto del causante, pero conociere de su existencia, deberá incluir en este Anejo una descripción de dicha parte y si lo supiere, el nombre de cada una de las personas que tengan cualquier clase de participación en la misma. Si puede determinar el valor en el mercado de la propiedad, incluya la misma en el </w:t>
      </w:r>
      <w:r w:rsidRPr="000C67EF">
        <w:rPr>
          <w:rFonts w:ascii="Times New Roman" w:hAnsi="Times New Roman"/>
          <w:color w:val="000000"/>
          <w:sz w:val="24"/>
          <w:szCs w:val="24"/>
          <w:lang w:val="es-PR"/>
        </w:rPr>
        <w:lastRenderedPageBreak/>
        <w:t>Anejo B o C, según corresponda, aunque no tenga la información completa. Las propiedades incluidas en este Anejo, no constituirán parte del Certificado de Cancelación de Gravamen Contributivo (Rel</w:t>
      </w:r>
      <w:r w:rsidR="00C11B9A">
        <w:rPr>
          <w:rFonts w:ascii="Times New Roman" w:hAnsi="Times New Roman"/>
          <w:color w:val="000000"/>
          <w:sz w:val="24"/>
          <w:szCs w:val="24"/>
          <w:lang w:val="es-PR"/>
        </w:rPr>
        <w:t>evo).</w:t>
      </w:r>
    </w:p>
    <w:p w:rsidR="006871A7" w:rsidRPr="006871A7" w:rsidRDefault="006871A7" w:rsidP="006871A7">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sidRPr="006871A7">
        <w:rPr>
          <w:rFonts w:ascii="Times New Roman" w:hAnsi="Times New Roman"/>
          <w:color w:val="000000"/>
          <w:sz w:val="24"/>
          <w:szCs w:val="24"/>
          <w:lang w:val="es-PR"/>
        </w:rPr>
        <w:t>Instrucciones sobre cómo completar la Planilla de Caudal Relicto (Herencia) SC- 2800B</w:t>
      </w:r>
    </w:p>
    <w:p w:rsidR="006871A7" w:rsidRPr="00577A82" w:rsidRDefault="00EB5D65" w:rsidP="006871A7">
      <w:pPr>
        <w:pStyle w:val="ListParagraph"/>
        <w:numPr>
          <w:ilvl w:val="0"/>
          <w:numId w:val="40"/>
        </w:numPr>
        <w:spacing w:before="120" w:after="120" w:line="240" w:lineRule="auto"/>
        <w:rPr>
          <w:rFonts w:ascii="Times New Roman" w:hAnsi="Times New Roman"/>
          <w:sz w:val="24"/>
          <w:szCs w:val="24"/>
          <w:lang w:val="es-PR"/>
        </w:rPr>
      </w:pPr>
      <w:hyperlink r:id="rId11" w:history="1">
        <w:r w:rsidR="006871A7" w:rsidRPr="00577A82">
          <w:rPr>
            <w:rStyle w:val="Hyperlink"/>
            <w:rFonts w:ascii="Times New Roman" w:hAnsi="Times New Roman"/>
            <w:sz w:val="24"/>
            <w:szCs w:val="24"/>
            <w:lang w:val="es-PR"/>
          </w:rPr>
          <w:t>Formulario Modelo SC-2800 B: Planilla del Caudal Relicto</w:t>
        </w:r>
      </w:hyperlink>
    </w:p>
    <w:p w:rsidR="00C42F34" w:rsidRPr="00C11B9A" w:rsidRDefault="00C42F34" w:rsidP="00C42F34">
      <w:pPr>
        <w:pStyle w:val="ListParagraph"/>
        <w:shd w:val="clear" w:color="auto" w:fill="FFFFFF"/>
        <w:spacing w:before="120" w:after="120" w:line="240" w:lineRule="auto"/>
        <w:ind w:left="1080"/>
        <w:rPr>
          <w:rFonts w:ascii="Times New Roman" w:hAnsi="Times New Roman"/>
          <w:color w:val="000000"/>
          <w:sz w:val="24"/>
          <w:szCs w:val="24"/>
          <w:lang w:val="es-PR"/>
        </w:rPr>
      </w:pPr>
    </w:p>
    <w:p w:rsidR="004D4BE4" w:rsidRPr="004D4BE4" w:rsidRDefault="00C11B9A" w:rsidP="004D4BE4">
      <w:pPr>
        <w:shd w:val="clear" w:color="auto" w:fill="FFFFFF"/>
        <w:spacing w:before="120" w:after="120" w:line="240" w:lineRule="auto"/>
        <w:jc w:val="both"/>
        <w:rPr>
          <w:rFonts w:ascii="Times New Roman" w:hAnsi="Times New Roman"/>
          <w:color w:val="000000"/>
          <w:sz w:val="24"/>
          <w:szCs w:val="24"/>
          <w:lang w:val="es-PR"/>
        </w:rPr>
      </w:pPr>
      <w:r>
        <w:rPr>
          <w:rFonts w:ascii="Times New Roman" w:hAnsi="Times New Roman"/>
          <w:noProof/>
          <w:color w:val="000000"/>
          <w:sz w:val="24"/>
          <w:szCs w:val="24"/>
        </w:rPr>
        <w:drawing>
          <wp:inline distT="0" distB="0" distL="0" distR="0">
            <wp:extent cx="5943600" cy="107632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943600" cy="1076325"/>
                    </a:xfrm>
                    <a:prstGeom prst="rect">
                      <a:avLst/>
                    </a:prstGeom>
                    <a:noFill/>
                    <a:ln w="9525">
                      <a:noFill/>
                      <a:miter lim="800000"/>
                      <a:headEnd/>
                      <a:tailEnd/>
                    </a:ln>
                  </pic:spPr>
                </pic:pic>
              </a:graphicData>
            </a:graphic>
          </wp:inline>
        </w:drawing>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DD2BC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1F50AF" w:rsidRDefault="00C81510" w:rsidP="00F3589A">
            <w:pPr>
              <w:pStyle w:val="NormalWeb"/>
              <w:rPr>
                <w:color w:val="000000"/>
                <w:sz w:val="20"/>
                <w:szCs w:val="20"/>
                <w:lang w:val="es-PR"/>
              </w:rPr>
            </w:pPr>
            <w:r w:rsidRPr="00C81510">
              <w:rPr>
                <w:noProof/>
                <w:color w:val="000000"/>
                <w:sz w:val="20"/>
                <w:szCs w:val="2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3"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1F50AF" w:rsidRDefault="00C81510" w:rsidP="00C42F3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C42F34">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C42F34">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6871A7" w:rsidRPr="00577A82" w:rsidRDefault="00EB5D65" w:rsidP="006871A7">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hyperlink r:id="rId14" w:history="1">
        <w:r w:rsidR="006871A7" w:rsidRPr="00577A82">
          <w:rPr>
            <w:rStyle w:val="Hyperlink"/>
            <w:rFonts w:ascii="Times New Roman" w:hAnsi="Times New Roman"/>
            <w:sz w:val="24"/>
            <w:szCs w:val="24"/>
            <w:lang w:val="es-PR"/>
          </w:rPr>
          <w:t>Código de Rentas Internas de Puerto Rico</w:t>
        </w:r>
      </w:hyperlink>
    </w:p>
    <w:p w:rsidR="003B6930" w:rsidRPr="00C42F34" w:rsidRDefault="003B6930" w:rsidP="003B6930">
      <w:pPr>
        <w:pStyle w:val="ListParagraph"/>
        <w:numPr>
          <w:ilvl w:val="0"/>
          <w:numId w:val="34"/>
        </w:numPr>
        <w:shd w:val="clear" w:color="auto" w:fill="FFFFFF"/>
        <w:spacing w:before="120" w:after="120" w:line="240" w:lineRule="auto"/>
        <w:rPr>
          <w:rFonts w:ascii="Times New Roman" w:hAnsi="Times New Roman"/>
          <w:color w:val="000000"/>
          <w:sz w:val="24"/>
          <w:lang w:val="es-PR"/>
        </w:rPr>
      </w:pPr>
      <w:r w:rsidRPr="00C42F34">
        <w:rPr>
          <w:rFonts w:ascii="Times New Roman" w:hAnsi="Times New Roman"/>
          <w:color w:val="000000"/>
          <w:sz w:val="24"/>
          <w:lang w:val="es-PR"/>
        </w:rPr>
        <w:t xml:space="preserve">Sección 2054.01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DD2BC9"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EA23AC" w:rsidRDefault="00C81510" w:rsidP="00934BD4">
            <w:pPr>
              <w:pStyle w:val="NormalWeb"/>
              <w:rPr>
                <w:color w:val="000000"/>
                <w:sz w:val="28"/>
                <w:szCs w:val="28"/>
                <w:lang w:val="es-PR"/>
              </w:rPr>
            </w:pPr>
            <w:r w:rsidRPr="00EA23AC">
              <w:rPr>
                <w:noProof/>
                <w:sz w:val="28"/>
                <w:szCs w:val="28"/>
              </w:rPr>
              <w:drawing>
                <wp:inline distT="0" distB="0" distL="0" distR="0">
                  <wp:extent cx="352425" cy="295275"/>
                  <wp:effectExtent l="19050" t="0" r="9525" b="0"/>
                  <wp:docPr id="2"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5"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3E0674" w:rsidRPr="00EA23AC" w:rsidRDefault="00C42F34"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00C81510" w:rsidRPr="00EA23AC">
              <w:rPr>
                <w:rFonts w:ascii="Times New Roman" w:eastAsiaTheme="minorHAnsi" w:hAnsi="Times New Roman"/>
                <w:b/>
                <w:sz w:val="28"/>
                <w:szCs w:val="28"/>
                <w:lang w:val="es-PR"/>
              </w:rPr>
              <w:t>ago</w:t>
            </w:r>
          </w:p>
        </w:tc>
      </w:tr>
    </w:tbl>
    <w:p w:rsidR="001E5F9F" w:rsidRPr="00EA23AC" w:rsidRDefault="006871A7" w:rsidP="00A25135">
      <w:pPr>
        <w:pStyle w:val="ListParagraph"/>
        <w:numPr>
          <w:ilvl w:val="0"/>
          <w:numId w:val="34"/>
        </w:numPr>
        <w:shd w:val="clear" w:color="auto" w:fill="FFFFFF"/>
        <w:spacing w:before="120" w:after="120" w:line="240" w:lineRule="auto"/>
        <w:rPr>
          <w:rFonts w:ascii="Times New Roman" w:hAnsi="Times New Roman"/>
          <w:color w:val="000000"/>
          <w:sz w:val="24"/>
          <w:szCs w:val="24"/>
          <w:lang w:val="es-PR"/>
        </w:rPr>
      </w:pPr>
      <w:r>
        <w:rPr>
          <w:rFonts w:ascii="Times New Roman" w:hAnsi="Times New Roman"/>
          <w:color w:val="000000"/>
          <w:sz w:val="24"/>
          <w:szCs w:val="24"/>
          <w:lang w:val="es-PR"/>
        </w:rPr>
        <w:t>Sello de Rentas Internas de</w:t>
      </w:r>
      <w:r w:rsidR="00185C9B">
        <w:rPr>
          <w:rFonts w:ascii="Times New Roman" w:hAnsi="Times New Roman"/>
          <w:color w:val="000000"/>
          <w:sz w:val="24"/>
          <w:szCs w:val="24"/>
          <w:lang w:val="es-PR"/>
        </w:rPr>
        <w:t xml:space="preserve"> veinticinco $(25</w:t>
      </w:r>
      <w:r w:rsidR="00843D8F">
        <w:rPr>
          <w:rFonts w:ascii="Times New Roman" w:hAnsi="Times New Roman"/>
          <w:color w:val="000000"/>
          <w:sz w:val="24"/>
          <w:szCs w:val="24"/>
          <w:lang w:val="es-PR"/>
        </w:rPr>
        <w:t>.00</w:t>
      </w:r>
      <w:r w:rsidR="00185C9B">
        <w:rPr>
          <w:rFonts w:ascii="Times New Roman" w:hAnsi="Times New Roman"/>
          <w:color w:val="000000"/>
          <w:sz w:val="24"/>
          <w:szCs w:val="24"/>
          <w:lang w:val="es-PR"/>
        </w:rPr>
        <w:t>) dólares.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DD2BC9"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1F50AF" w:rsidRDefault="00C81510" w:rsidP="00F3589A">
            <w:pPr>
              <w:pStyle w:val="NormalWeb"/>
              <w:rPr>
                <w:color w:val="000000"/>
                <w:sz w:val="20"/>
                <w:szCs w:val="20"/>
                <w:lang w:val="es-PR"/>
              </w:rPr>
            </w:pPr>
            <w:r>
              <w:rPr>
                <w:rFonts w:ascii="Verdana" w:hAnsi="Verdana" w:cs="Arial"/>
                <w:noProof/>
                <w:color w:val="000000"/>
                <w:sz w:val="20"/>
                <w:szCs w:val="20"/>
              </w:rPr>
              <w:drawing>
                <wp:inline distT="0" distB="0" distL="0" distR="0">
                  <wp:extent cx="276225" cy="268759"/>
                  <wp:effectExtent l="19050" t="0" r="9525" b="0"/>
                  <wp:docPr id="6"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6" cstate="print"/>
                          <a:srcRect/>
                          <a:stretch>
                            <a:fillRect/>
                          </a:stretch>
                        </pic:blipFill>
                        <pic:spPr bwMode="auto">
                          <a:xfrm>
                            <a:off x="0" y="0"/>
                            <a:ext cx="276225" cy="268759"/>
                          </a:xfrm>
                          <a:prstGeom prst="rect">
                            <a:avLst/>
                          </a:prstGeom>
                          <a:noFill/>
                          <a:ln w="9525">
                            <a:noFill/>
                            <a:miter lim="800000"/>
                            <a:headEnd/>
                            <a:tailEnd/>
                          </a:ln>
                        </pic:spPr>
                      </pic:pic>
                    </a:graphicData>
                  </a:graphic>
                </wp:inline>
              </w:drawing>
            </w:r>
            <w:r w:rsidR="00FD084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FD084F" w:rsidRPr="001F50AF" w:rsidRDefault="00934BD4" w:rsidP="00A625BF">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Ubicación y horarios de servicio</w:t>
            </w:r>
          </w:p>
        </w:tc>
      </w:tr>
    </w:tbl>
    <w:p w:rsidR="006B2DBC" w:rsidRDefault="006B2DBC" w:rsidP="006B2DBC">
      <w:pPr>
        <w:pStyle w:val="ListParagraph"/>
        <w:numPr>
          <w:ilvl w:val="0"/>
          <w:numId w:val="4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Oficina 101   Negociado de Servicio al Contribuyente</w:t>
      </w:r>
    </w:p>
    <w:p w:rsidR="006B2DBC" w:rsidRPr="00340B98" w:rsidRDefault="006B2DBC" w:rsidP="006B2DBC">
      <w:pPr>
        <w:pStyle w:val="ListParagraph"/>
        <w:shd w:val="clear" w:color="auto" w:fill="FFFFFF"/>
        <w:spacing w:before="120" w:after="120" w:line="240" w:lineRule="auto"/>
        <w:ind w:left="1620" w:firstLine="540"/>
        <w:rPr>
          <w:rFonts w:ascii="Times New Roman" w:hAnsi="Times New Roman"/>
          <w:color w:val="000000"/>
          <w:sz w:val="24"/>
          <w:lang w:val="es-PR"/>
        </w:rPr>
      </w:pPr>
      <w:r w:rsidRPr="00340B98">
        <w:rPr>
          <w:rFonts w:ascii="Times New Roman" w:hAnsi="Times New Roman"/>
          <w:color w:val="000000"/>
          <w:sz w:val="24"/>
          <w:lang w:val="es-PR"/>
        </w:rPr>
        <w:t>Oficina 211</w:t>
      </w:r>
      <w:r>
        <w:rPr>
          <w:rFonts w:ascii="Times New Roman" w:hAnsi="Times New Roman"/>
          <w:color w:val="000000"/>
          <w:sz w:val="24"/>
          <w:lang w:val="es-PR"/>
        </w:rPr>
        <w:t xml:space="preserve">   Negociado de Servicio al Contribuyente</w:t>
      </w:r>
    </w:p>
    <w:p w:rsidR="006B2DBC" w:rsidRDefault="006B2DBC" w:rsidP="006B2DBC">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 xml:space="preserve"> Edificio Intendente Ramírez, Viejo San Juan</w:t>
      </w:r>
    </w:p>
    <w:p w:rsidR="006B2DBC" w:rsidRDefault="006B2DBC" w:rsidP="006B2DBC">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Departamento de Hacienda</w:t>
      </w:r>
    </w:p>
    <w:p w:rsidR="006B2DBC" w:rsidRPr="00B96F57" w:rsidRDefault="006B2DBC" w:rsidP="006B2DBC">
      <w:pPr>
        <w:pStyle w:val="ListParagraph"/>
        <w:shd w:val="clear" w:color="auto" w:fill="FFFFFF"/>
        <w:spacing w:before="120" w:after="120" w:line="240" w:lineRule="auto"/>
        <w:ind w:left="900"/>
        <w:rPr>
          <w:rFonts w:ascii="Times New Roman" w:hAnsi="Times New Roman"/>
          <w:color w:val="000000"/>
          <w:sz w:val="16"/>
          <w:szCs w:val="16"/>
          <w:lang w:val="es-PR"/>
        </w:rPr>
      </w:pPr>
    </w:p>
    <w:p w:rsidR="006B2DBC" w:rsidRDefault="006B2DBC" w:rsidP="006B2DBC">
      <w:pPr>
        <w:pStyle w:val="ListParagraph"/>
        <w:numPr>
          <w:ilvl w:val="0"/>
          <w:numId w:val="4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6B2DBC" w:rsidRDefault="006B2DBC" w:rsidP="006B2DBC">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6B2DBC" w:rsidRPr="00B96F57" w:rsidRDefault="006B2DBC" w:rsidP="006B2DBC">
      <w:pPr>
        <w:pStyle w:val="ListParagraph"/>
        <w:shd w:val="clear" w:color="auto" w:fill="FFFFFF"/>
        <w:spacing w:before="120" w:after="120" w:line="240" w:lineRule="auto"/>
        <w:ind w:left="900"/>
        <w:rPr>
          <w:rFonts w:ascii="Times New Roman" w:hAnsi="Times New Roman"/>
          <w:color w:val="000000"/>
          <w:sz w:val="16"/>
          <w:szCs w:val="16"/>
          <w:lang w:val="es-PR"/>
        </w:rPr>
      </w:pPr>
    </w:p>
    <w:p w:rsidR="006B2DBC" w:rsidRDefault="006B2DBC" w:rsidP="006B2DBC">
      <w:pPr>
        <w:pStyle w:val="ListParagraph"/>
        <w:numPr>
          <w:ilvl w:val="0"/>
          <w:numId w:val="4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721-7790</w:t>
      </w:r>
    </w:p>
    <w:p w:rsidR="006B2DBC" w:rsidRDefault="006B2DBC" w:rsidP="006B2DBC">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722-7007</w:t>
      </w:r>
    </w:p>
    <w:p w:rsidR="006B2DBC" w:rsidRPr="00B96F57" w:rsidRDefault="006B2DBC" w:rsidP="006B2DBC">
      <w:pPr>
        <w:pStyle w:val="ListParagraph"/>
        <w:shd w:val="clear" w:color="auto" w:fill="FFFFFF"/>
        <w:spacing w:before="120" w:after="120" w:line="240" w:lineRule="auto"/>
        <w:ind w:left="900"/>
        <w:rPr>
          <w:rFonts w:ascii="Times New Roman" w:hAnsi="Times New Roman"/>
          <w:color w:val="000000"/>
          <w:sz w:val="16"/>
          <w:szCs w:val="16"/>
          <w:lang w:val="es-PR"/>
        </w:rPr>
      </w:pPr>
    </w:p>
    <w:p w:rsidR="006B2DBC" w:rsidRDefault="006B2DBC" w:rsidP="006B2DBC">
      <w:pPr>
        <w:pStyle w:val="ListParagraph"/>
        <w:numPr>
          <w:ilvl w:val="0"/>
          <w:numId w:val="43"/>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725-2627</w:t>
      </w:r>
    </w:p>
    <w:p w:rsidR="006B2DBC" w:rsidRPr="009A2C80" w:rsidRDefault="006B2DBC" w:rsidP="006B2DBC">
      <w:pPr>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(787) 725-2319</w:t>
      </w:r>
      <w:r w:rsidRPr="009A2C80">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1F50AF" w:rsidTr="00FF1FCF">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Pr>
                <w:rFonts w:ascii="Verdana" w:hAnsi="Verdana" w:cs="Arial"/>
                <w:noProof/>
                <w:color w:val="000000"/>
                <w:sz w:val="20"/>
                <w:szCs w:val="20"/>
              </w:rPr>
              <w:drawing>
                <wp:inline distT="0" distB="0" distL="0" distR="0">
                  <wp:extent cx="304800" cy="198120"/>
                  <wp:effectExtent l="19050" t="0" r="0" b="0"/>
                  <wp:docPr id="11"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7" cstate="print"/>
                          <a:srcRect/>
                          <a:stretch>
                            <a:fillRect/>
                          </a:stretch>
                        </pic:blipFill>
                        <pic:spPr bwMode="auto">
                          <a:xfrm>
                            <a:off x="0" y="0"/>
                            <a:ext cx="304800" cy="19812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Enlaces relacionados</w:t>
            </w:r>
          </w:p>
        </w:tc>
      </w:tr>
    </w:tbl>
    <w:p w:rsidR="00C42F34" w:rsidRPr="005D4C62" w:rsidRDefault="00EB5D65" w:rsidP="00C42F34">
      <w:pPr>
        <w:pStyle w:val="ListParagraph"/>
        <w:numPr>
          <w:ilvl w:val="0"/>
          <w:numId w:val="34"/>
        </w:numPr>
        <w:spacing w:before="120" w:after="120" w:line="240" w:lineRule="auto"/>
        <w:rPr>
          <w:rFonts w:ascii="Times New Roman" w:hAnsi="Times New Roman"/>
          <w:sz w:val="24"/>
          <w:szCs w:val="24"/>
          <w:lang w:val="es-PR"/>
        </w:rPr>
      </w:pPr>
      <w:hyperlink r:id="rId18" w:history="1">
        <w:r w:rsidR="00C42F34" w:rsidRPr="00B663B1">
          <w:rPr>
            <w:rStyle w:val="Hyperlink"/>
            <w:rFonts w:ascii="Times New Roman" w:hAnsi="Times New Roman"/>
            <w:sz w:val="24"/>
            <w:szCs w:val="24"/>
            <w:lang w:val="es-PR"/>
          </w:rPr>
          <w:t>Formulario Modelo SC-2800 B: Planilla del Caudal Relicto</w:t>
        </w:r>
      </w:hyperlink>
    </w:p>
    <w:p w:rsidR="006B2DBC" w:rsidRPr="009C5B4F" w:rsidRDefault="00EB5D65" w:rsidP="006B2DBC">
      <w:pPr>
        <w:pStyle w:val="ListParagraph"/>
        <w:numPr>
          <w:ilvl w:val="0"/>
          <w:numId w:val="34"/>
        </w:numPr>
        <w:spacing w:before="120" w:after="120" w:line="240" w:lineRule="auto"/>
        <w:rPr>
          <w:rFonts w:ascii="Times New Roman" w:hAnsi="Times New Roman"/>
          <w:color w:val="17365D" w:themeColor="text2" w:themeShade="BF"/>
          <w:sz w:val="24"/>
          <w:szCs w:val="24"/>
          <w:lang w:val="es-PR"/>
        </w:rPr>
      </w:pPr>
      <w:hyperlink r:id="rId19" w:history="1">
        <w:r w:rsidR="006B2DBC">
          <w:rPr>
            <w:rStyle w:val="Hyperlink"/>
            <w:rFonts w:ascii="Times New Roman" w:hAnsi="Times New Roman"/>
            <w:sz w:val="24"/>
            <w:szCs w:val="24"/>
            <w:lang w:val="es-PR"/>
          </w:rPr>
          <w:t>Modelo SC 2745 Poder y Declaración de Representación</w:t>
        </w:r>
      </w:hyperlink>
    </w:p>
    <w:p w:rsidR="001E5F9F" w:rsidRPr="00C049F6" w:rsidRDefault="00EB5D65" w:rsidP="00CC2A43">
      <w:pPr>
        <w:pStyle w:val="ListParagraph"/>
        <w:numPr>
          <w:ilvl w:val="0"/>
          <w:numId w:val="34"/>
        </w:numPr>
        <w:spacing w:before="120" w:after="120" w:line="240" w:lineRule="auto"/>
        <w:rPr>
          <w:rFonts w:ascii="Times New Roman" w:hAnsi="Times New Roman"/>
          <w:lang w:val="es-PR"/>
        </w:rPr>
      </w:pPr>
      <w:hyperlink r:id="rId20" w:history="1">
        <w:r w:rsidR="00C42F34">
          <w:rPr>
            <w:rStyle w:val="Hyperlink"/>
            <w:rFonts w:ascii="Times New Roman" w:hAnsi="Times New Roman"/>
            <w:lang w:val="es-PR"/>
          </w:rPr>
          <w:t>Portal del Departamento de Hacienda</w:t>
        </w:r>
      </w:hyperlink>
      <w:r w:rsidR="00C42F34" w:rsidRPr="00C42F34">
        <w:rPr>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1F50A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1F50AF" w:rsidRDefault="00C81510" w:rsidP="00934BD4">
            <w:pPr>
              <w:pStyle w:val="NormalWeb"/>
              <w:rPr>
                <w:color w:val="000000"/>
                <w:sz w:val="20"/>
                <w:szCs w:val="20"/>
                <w:lang w:val="es-PR"/>
              </w:rPr>
            </w:pPr>
            <w:r w:rsidRPr="00C81510">
              <w:rPr>
                <w:noProof/>
                <w:sz w:val="20"/>
                <w:szCs w:val="20"/>
              </w:rPr>
              <w:drawing>
                <wp:inline distT="0" distB="0" distL="0" distR="0">
                  <wp:extent cx="304800" cy="304800"/>
                  <wp:effectExtent l="19050" t="0" r="0" b="0"/>
                  <wp:docPr id="17"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2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1E5F9F" w:rsidRPr="001F50AF">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E5F9F" w:rsidRPr="001F50AF" w:rsidRDefault="00934BD4" w:rsidP="004661CA">
            <w:pPr>
              <w:spacing w:after="0" w:line="240" w:lineRule="auto"/>
              <w:rPr>
                <w:rFonts w:ascii="Times New Roman" w:eastAsiaTheme="minorHAnsi" w:hAnsi="Times New Roman"/>
                <w:b/>
                <w:sz w:val="28"/>
                <w:szCs w:val="28"/>
                <w:lang w:val="es-PR"/>
              </w:rPr>
            </w:pPr>
            <w:r w:rsidRPr="001F50AF">
              <w:rPr>
                <w:rFonts w:ascii="Times New Roman" w:eastAsiaTheme="minorHAnsi" w:hAnsi="Times New Roman"/>
                <w:b/>
                <w:sz w:val="28"/>
                <w:szCs w:val="28"/>
                <w:lang w:val="es-PR"/>
              </w:rPr>
              <w:t>Preguntas frecuentes</w:t>
            </w:r>
          </w:p>
        </w:tc>
      </w:tr>
    </w:tbl>
    <w:p w:rsidR="009E6D6C" w:rsidRPr="00DD76C9" w:rsidRDefault="009E6D6C" w:rsidP="009E6D6C">
      <w:pPr>
        <w:pStyle w:val="ListParagraph"/>
        <w:numPr>
          <w:ilvl w:val="0"/>
          <w:numId w:val="42"/>
        </w:numPr>
        <w:spacing w:before="120" w:after="120" w:line="240" w:lineRule="auto"/>
        <w:rPr>
          <w:rFonts w:ascii="Times New Roman" w:hAnsi="Times New Roman"/>
          <w:b/>
          <w:color w:val="000000"/>
          <w:lang w:val="es-PR"/>
        </w:rPr>
      </w:pPr>
      <w:r w:rsidRPr="00DD76C9">
        <w:rPr>
          <w:rFonts w:ascii="Times New Roman" w:hAnsi="Times New Roman"/>
          <w:b/>
          <w:color w:val="000000"/>
          <w:sz w:val="24"/>
          <w:lang w:val="es-PR"/>
        </w:rPr>
        <w:t>¿Qué significa</w:t>
      </w:r>
      <w:r>
        <w:rPr>
          <w:rFonts w:ascii="Times New Roman" w:hAnsi="Times New Roman"/>
          <w:b/>
          <w:color w:val="000000"/>
          <w:sz w:val="24"/>
          <w:lang w:val="es-PR"/>
        </w:rPr>
        <w:t xml:space="preserve"> un</w:t>
      </w:r>
      <w:r w:rsidRPr="00DD76C9">
        <w:rPr>
          <w:rFonts w:ascii="Times New Roman" w:hAnsi="Times New Roman"/>
          <w:b/>
          <w:color w:val="000000"/>
          <w:sz w:val="24"/>
          <w:lang w:val="es-PR"/>
        </w:rPr>
        <w:t xml:space="preserve"> i</w:t>
      </w:r>
      <w:r>
        <w:rPr>
          <w:rFonts w:ascii="Times New Roman" w:hAnsi="Times New Roman"/>
          <w:b/>
          <w:color w:val="000000"/>
          <w:sz w:val="24"/>
          <w:lang w:val="es-PR"/>
        </w:rPr>
        <w:t>ndividuo residente</w:t>
      </w:r>
      <w:r w:rsidRPr="00DD76C9">
        <w:rPr>
          <w:rFonts w:ascii="Times New Roman" w:hAnsi="Times New Roman"/>
          <w:b/>
          <w:color w:val="000000"/>
          <w:sz w:val="24"/>
          <w:lang w:val="es-PR"/>
        </w:rPr>
        <w:t xml:space="preserve"> y </w:t>
      </w:r>
      <w:r>
        <w:rPr>
          <w:rFonts w:ascii="Times New Roman" w:hAnsi="Times New Roman"/>
          <w:b/>
          <w:color w:val="000000"/>
          <w:sz w:val="24"/>
          <w:lang w:val="es-PR"/>
        </w:rPr>
        <w:t xml:space="preserve">un individuo </w:t>
      </w:r>
      <w:r w:rsidRPr="00DD76C9">
        <w:rPr>
          <w:rFonts w:ascii="Times New Roman" w:hAnsi="Times New Roman"/>
          <w:b/>
          <w:color w:val="000000"/>
          <w:sz w:val="24"/>
          <w:lang w:val="es-PR"/>
        </w:rPr>
        <w:t>no re</w:t>
      </w:r>
      <w:r>
        <w:rPr>
          <w:rFonts w:ascii="Times New Roman" w:hAnsi="Times New Roman"/>
          <w:b/>
          <w:color w:val="000000"/>
          <w:sz w:val="24"/>
          <w:lang w:val="es-PR"/>
        </w:rPr>
        <w:t>sidente</w:t>
      </w:r>
      <w:r w:rsidRPr="00DD76C9">
        <w:rPr>
          <w:rFonts w:ascii="Times New Roman" w:hAnsi="Times New Roman"/>
          <w:b/>
          <w:color w:val="000000"/>
          <w:sz w:val="24"/>
          <w:lang w:val="es-PR"/>
        </w:rPr>
        <w:t xml:space="preserve"> para propósitos de herencia? </w:t>
      </w:r>
      <w:r w:rsidRPr="00DD76C9">
        <w:rPr>
          <w:rFonts w:ascii="Times New Roman" w:hAnsi="Times New Roman"/>
          <w:color w:val="000000"/>
          <w:sz w:val="24"/>
          <w:lang w:val="es-PR"/>
        </w:rPr>
        <w:t>Un individuo residente de Puerto Rico es aquel individuo que era residente de Puerto Rico al momento de su fallecimiento. Los individuos no residentes son aquellos individuos que no  residen en Puerto Rico pero al momento de su fallecimiento pero que tenían propiedades localizadas en Puerto Rico.</w:t>
      </w:r>
    </w:p>
    <w:p w:rsidR="004D4BE4" w:rsidRPr="00BD3520" w:rsidRDefault="004D4BE4" w:rsidP="00CE341D">
      <w:pPr>
        <w:pStyle w:val="ListParagraph"/>
        <w:numPr>
          <w:ilvl w:val="0"/>
          <w:numId w:val="42"/>
        </w:numPr>
        <w:spacing w:before="120" w:after="120" w:line="240" w:lineRule="auto"/>
        <w:rPr>
          <w:rFonts w:ascii="Times New Roman" w:hAnsi="Times New Roman"/>
          <w:sz w:val="24"/>
          <w:lang w:val="es-PR"/>
        </w:rPr>
      </w:pPr>
      <w:r>
        <w:rPr>
          <w:rFonts w:ascii="Times New Roman" w:hAnsi="Times New Roman"/>
          <w:b/>
          <w:sz w:val="24"/>
          <w:lang w:val="es-PR"/>
        </w:rPr>
        <w:t xml:space="preserve">¿Por qué tenemos que radicar la planilla de Caudal Relicto? </w:t>
      </w:r>
      <w:r w:rsidRPr="00BD3520">
        <w:rPr>
          <w:rFonts w:ascii="Times New Roman" w:hAnsi="Times New Roman"/>
          <w:sz w:val="24"/>
          <w:lang w:val="es-PR"/>
        </w:rPr>
        <w:t>Primeramente porque</w:t>
      </w:r>
      <w:r>
        <w:rPr>
          <w:rFonts w:ascii="Times New Roman" w:hAnsi="Times New Roman"/>
          <w:b/>
          <w:sz w:val="24"/>
          <w:lang w:val="es-PR"/>
        </w:rPr>
        <w:t xml:space="preserve"> </w:t>
      </w:r>
      <w:r>
        <w:rPr>
          <w:rFonts w:ascii="Times New Roman" w:hAnsi="Times New Roman"/>
          <w:sz w:val="24"/>
          <w:lang w:val="es-PR"/>
        </w:rPr>
        <w:t>l</w:t>
      </w:r>
      <w:r w:rsidRPr="00BD3520">
        <w:rPr>
          <w:rFonts w:ascii="Times New Roman" w:hAnsi="Times New Roman"/>
          <w:sz w:val="24"/>
          <w:lang w:val="es-PR"/>
        </w:rPr>
        <w:t>o requiere</w:t>
      </w:r>
      <w:r>
        <w:rPr>
          <w:rFonts w:ascii="Times New Roman" w:hAnsi="Times New Roman"/>
          <w:b/>
          <w:sz w:val="24"/>
          <w:lang w:val="es-PR"/>
        </w:rPr>
        <w:t xml:space="preserve"> </w:t>
      </w:r>
      <w:r w:rsidRPr="00BD3520">
        <w:rPr>
          <w:rFonts w:ascii="Times New Roman" w:hAnsi="Times New Roman"/>
          <w:sz w:val="24"/>
          <w:lang w:val="es-PR"/>
        </w:rPr>
        <w:t xml:space="preserve">la ley </w:t>
      </w:r>
      <w:r>
        <w:rPr>
          <w:rFonts w:ascii="Times New Roman" w:hAnsi="Times New Roman"/>
          <w:b/>
          <w:sz w:val="24"/>
          <w:lang w:val="es-PR"/>
        </w:rPr>
        <w:t xml:space="preserve">(el Código de Rentas Internas). </w:t>
      </w:r>
      <w:r w:rsidRPr="00BD3520">
        <w:rPr>
          <w:rFonts w:ascii="Times New Roman" w:hAnsi="Times New Roman"/>
          <w:sz w:val="24"/>
          <w:lang w:val="es-PR"/>
        </w:rPr>
        <w:t xml:space="preserve">De igual manera se debe radicar para que Hacienda expida el certificado de cancelación de gravamen contributivo </w:t>
      </w:r>
      <w:r>
        <w:rPr>
          <w:rFonts w:ascii="Times New Roman" w:hAnsi="Times New Roman"/>
          <w:b/>
          <w:sz w:val="24"/>
          <w:lang w:val="es-PR"/>
        </w:rPr>
        <w:t xml:space="preserve">(el relevo de Hacienda) </w:t>
      </w:r>
      <w:r w:rsidRPr="00BD3520">
        <w:rPr>
          <w:rFonts w:ascii="Times New Roman" w:hAnsi="Times New Roman"/>
          <w:sz w:val="24"/>
          <w:lang w:val="es-PR"/>
        </w:rPr>
        <w:t>y podamos repartir, transferir y hacer transacciones con los bienes de la herencia</w:t>
      </w:r>
      <w:r>
        <w:rPr>
          <w:rFonts w:ascii="Times New Roman" w:hAnsi="Times New Roman"/>
          <w:sz w:val="24"/>
          <w:lang w:val="es-PR"/>
        </w:rPr>
        <w:t>.</w:t>
      </w:r>
    </w:p>
    <w:p w:rsidR="00EB022B" w:rsidRDefault="00EB022B" w:rsidP="00EB022B">
      <w:pPr>
        <w:pStyle w:val="ListParagraph"/>
        <w:numPr>
          <w:ilvl w:val="0"/>
          <w:numId w:val="42"/>
        </w:numPr>
        <w:spacing w:before="120" w:after="120" w:line="240" w:lineRule="auto"/>
        <w:rPr>
          <w:rFonts w:ascii="Times New Roman" w:hAnsi="Times New Roman"/>
          <w:b/>
          <w:sz w:val="24"/>
          <w:lang w:val="es-PR"/>
        </w:rPr>
      </w:pPr>
      <w:r>
        <w:rPr>
          <w:rFonts w:ascii="Times New Roman" w:hAnsi="Times New Roman"/>
          <w:b/>
          <w:sz w:val="24"/>
          <w:lang w:val="es-PR"/>
        </w:rPr>
        <w:t>¿</w:t>
      </w:r>
      <w:r w:rsidRPr="00C21942">
        <w:rPr>
          <w:rFonts w:ascii="Times New Roman" w:hAnsi="Times New Roman"/>
          <w:b/>
          <w:sz w:val="24"/>
          <w:lang w:val="es-PR"/>
        </w:rPr>
        <w:t>Cuándo debo utilizar la Forma SC-2800</w:t>
      </w:r>
      <w:r>
        <w:rPr>
          <w:rFonts w:ascii="Times New Roman" w:hAnsi="Times New Roman"/>
          <w:b/>
          <w:sz w:val="24"/>
          <w:lang w:val="es-PR"/>
        </w:rPr>
        <w:t>B</w:t>
      </w:r>
      <w:r w:rsidRPr="00C21942">
        <w:rPr>
          <w:rFonts w:ascii="Times New Roman" w:hAnsi="Times New Roman"/>
          <w:b/>
          <w:sz w:val="24"/>
          <w:lang w:val="es-PR"/>
        </w:rPr>
        <w:t>?</w:t>
      </w:r>
      <w:r>
        <w:rPr>
          <w:rFonts w:ascii="Times New Roman" w:hAnsi="Times New Roman"/>
          <w:b/>
          <w:sz w:val="24"/>
          <w:lang w:val="es-PR"/>
        </w:rPr>
        <w:t xml:space="preserve">  </w:t>
      </w:r>
      <w:r w:rsidRPr="00EB022B">
        <w:rPr>
          <w:rFonts w:ascii="Times New Roman" w:hAnsi="Times New Roman"/>
          <w:sz w:val="24"/>
          <w:lang w:val="es-PR"/>
        </w:rPr>
        <w:t>Se utiliza cuando el causante nació y residía en</w:t>
      </w:r>
      <w:r w:rsidR="00E768F6">
        <w:rPr>
          <w:rFonts w:ascii="Times New Roman" w:hAnsi="Times New Roman"/>
          <w:sz w:val="24"/>
          <w:lang w:val="es-PR"/>
        </w:rPr>
        <w:t xml:space="preserve"> Puerto Rico a la fecha de su falle</w:t>
      </w:r>
      <w:r w:rsidRPr="00EB022B">
        <w:rPr>
          <w:rFonts w:ascii="Times New Roman" w:hAnsi="Times New Roman"/>
          <w:sz w:val="24"/>
          <w:lang w:val="es-PR"/>
        </w:rPr>
        <w:t>cimiento</w:t>
      </w:r>
      <w:r w:rsidR="00E768F6">
        <w:rPr>
          <w:rFonts w:ascii="Times New Roman" w:hAnsi="Times New Roman"/>
          <w:sz w:val="24"/>
          <w:lang w:val="es-PR"/>
        </w:rPr>
        <w:t>. La fecha de falleci</w:t>
      </w:r>
      <w:r>
        <w:rPr>
          <w:rFonts w:ascii="Times New Roman" w:hAnsi="Times New Roman"/>
          <w:sz w:val="24"/>
          <w:lang w:val="es-PR"/>
        </w:rPr>
        <w:t>miento es a partir del primero</w:t>
      </w:r>
      <w:r w:rsidR="00E768F6">
        <w:rPr>
          <w:rFonts w:ascii="Times New Roman" w:hAnsi="Times New Roman"/>
          <w:sz w:val="24"/>
          <w:lang w:val="es-PR"/>
        </w:rPr>
        <w:t xml:space="preserve"> (1)</w:t>
      </w:r>
      <w:r>
        <w:rPr>
          <w:rFonts w:ascii="Times New Roman" w:hAnsi="Times New Roman"/>
          <w:sz w:val="24"/>
          <w:lang w:val="es-PR"/>
        </w:rPr>
        <w:t xml:space="preserve"> de enero de 2011. No importa donde estaban ubicados sus bienes.</w:t>
      </w:r>
    </w:p>
    <w:p w:rsidR="00EB022B" w:rsidRPr="00BB52F9" w:rsidRDefault="00EB022B" w:rsidP="00EB022B">
      <w:pPr>
        <w:pStyle w:val="ListParagraph"/>
        <w:numPr>
          <w:ilvl w:val="0"/>
          <w:numId w:val="42"/>
        </w:numPr>
        <w:spacing w:before="120" w:after="120" w:line="240" w:lineRule="auto"/>
        <w:rPr>
          <w:rFonts w:ascii="Times New Roman" w:hAnsi="Times New Roman"/>
          <w:b/>
          <w:sz w:val="24"/>
          <w:lang w:val="es-PR"/>
        </w:rPr>
      </w:pPr>
      <w:r w:rsidRPr="00BB52F9">
        <w:rPr>
          <w:rFonts w:ascii="Times New Roman" w:hAnsi="Times New Roman"/>
          <w:b/>
          <w:sz w:val="24"/>
          <w:lang w:val="es-PR"/>
        </w:rPr>
        <w:t>¿Qué es un causante?</w:t>
      </w:r>
      <w:r>
        <w:rPr>
          <w:rFonts w:ascii="Times New Roman" w:hAnsi="Times New Roman"/>
          <w:b/>
          <w:sz w:val="24"/>
          <w:lang w:val="es-PR"/>
        </w:rPr>
        <w:t xml:space="preserve"> </w:t>
      </w:r>
      <w:r w:rsidRPr="00BB52F9">
        <w:rPr>
          <w:rFonts w:ascii="Times New Roman" w:hAnsi="Times New Roman"/>
          <w:sz w:val="24"/>
          <w:lang w:val="es-PR"/>
        </w:rPr>
        <w:t>Un causante es la persona fallecida</w:t>
      </w:r>
      <w:r>
        <w:rPr>
          <w:rFonts w:ascii="Times New Roman" w:hAnsi="Times New Roman"/>
          <w:b/>
          <w:sz w:val="24"/>
          <w:lang w:val="es-PR"/>
        </w:rPr>
        <w:t>.</w:t>
      </w:r>
    </w:p>
    <w:p w:rsidR="004D4BE4" w:rsidRPr="00446DFA" w:rsidRDefault="004D4BE4" w:rsidP="00CE341D">
      <w:pPr>
        <w:pStyle w:val="ListParagraph"/>
        <w:numPr>
          <w:ilvl w:val="0"/>
          <w:numId w:val="42"/>
        </w:numPr>
        <w:spacing w:before="120" w:after="120" w:line="240" w:lineRule="auto"/>
        <w:rPr>
          <w:rFonts w:ascii="Times New Roman" w:hAnsi="Times New Roman"/>
          <w:b/>
          <w:sz w:val="24"/>
          <w:lang w:val="es-PR"/>
        </w:rPr>
      </w:pPr>
      <w:r>
        <w:rPr>
          <w:rFonts w:ascii="Times New Roman" w:hAnsi="Times New Roman"/>
          <w:b/>
          <w:sz w:val="24"/>
          <w:lang w:val="es-PR"/>
        </w:rPr>
        <w:t xml:space="preserve">¿Luego del fallecimiento de la persona, en cuanto tiempo se debe radicar la planilla? </w:t>
      </w:r>
      <w:r w:rsidRPr="00E07EE0">
        <w:rPr>
          <w:rFonts w:ascii="Times New Roman" w:hAnsi="Times New Roman"/>
          <w:sz w:val="24"/>
          <w:lang w:val="es-PR"/>
        </w:rPr>
        <w:t>Se</w:t>
      </w:r>
      <w:r>
        <w:rPr>
          <w:rFonts w:ascii="Times New Roman" w:hAnsi="Times New Roman"/>
          <w:sz w:val="24"/>
          <w:lang w:val="es-PR"/>
        </w:rPr>
        <w:t xml:space="preserve"> debe radicar la planilla dentro de los nueve (9) meses siguientes a la fecha del fallecimiento de la persona.</w:t>
      </w:r>
    </w:p>
    <w:p w:rsidR="004D4BE4" w:rsidRPr="0023536C" w:rsidRDefault="004D4BE4" w:rsidP="00CE341D">
      <w:pPr>
        <w:pStyle w:val="ListParagraph"/>
        <w:numPr>
          <w:ilvl w:val="0"/>
          <w:numId w:val="42"/>
        </w:numPr>
        <w:spacing w:before="120" w:after="120" w:line="240" w:lineRule="auto"/>
        <w:rPr>
          <w:rFonts w:ascii="Times New Roman" w:hAnsi="Times New Roman"/>
          <w:sz w:val="24"/>
          <w:lang w:val="es-PR"/>
        </w:rPr>
      </w:pPr>
      <w:r>
        <w:rPr>
          <w:rFonts w:ascii="Times New Roman" w:hAnsi="Times New Roman"/>
          <w:b/>
          <w:sz w:val="24"/>
          <w:lang w:val="es-PR"/>
        </w:rPr>
        <w:t xml:space="preserve">¿Quién tiene la obligación de radicar la planilla? </w:t>
      </w:r>
      <w:r w:rsidRPr="00E96F82">
        <w:rPr>
          <w:rFonts w:ascii="Times New Roman" w:hAnsi="Times New Roman"/>
          <w:sz w:val="24"/>
          <w:lang w:val="es-PR"/>
        </w:rPr>
        <w:t>El albacea testamentario tiene la</w:t>
      </w:r>
      <w:r>
        <w:rPr>
          <w:rFonts w:ascii="Times New Roman" w:hAnsi="Times New Roman"/>
          <w:b/>
          <w:sz w:val="24"/>
          <w:lang w:val="es-PR"/>
        </w:rPr>
        <w:t xml:space="preserve"> </w:t>
      </w:r>
      <w:r w:rsidRPr="00E96F82">
        <w:rPr>
          <w:rFonts w:ascii="Times New Roman" w:hAnsi="Times New Roman"/>
          <w:sz w:val="24"/>
          <w:lang w:val="es-PR"/>
        </w:rPr>
        <w:t>obligación de radicar la planilla en los casos en que el causante haya otorgado testamento y haya designado a un albace</w:t>
      </w:r>
      <w:r>
        <w:rPr>
          <w:rFonts w:ascii="Times New Roman" w:hAnsi="Times New Roman"/>
          <w:sz w:val="24"/>
          <w:lang w:val="es-PR"/>
        </w:rPr>
        <w:t>a.</w:t>
      </w:r>
    </w:p>
    <w:p w:rsidR="004D4BE4" w:rsidRDefault="00CE341D" w:rsidP="00CE341D">
      <w:pPr>
        <w:pStyle w:val="ListParagraph"/>
        <w:numPr>
          <w:ilvl w:val="0"/>
          <w:numId w:val="42"/>
        </w:numPr>
        <w:spacing w:before="120" w:after="120" w:line="240" w:lineRule="auto"/>
        <w:rPr>
          <w:rFonts w:ascii="Times New Roman" w:hAnsi="Times New Roman"/>
          <w:sz w:val="24"/>
          <w:lang w:val="es-PR"/>
        </w:rPr>
      </w:pPr>
      <w:r>
        <w:rPr>
          <w:rFonts w:ascii="Times New Roman" w:hAnsi="Times New Roman"/>
          <w:b/>
          <w:sz w:val="24"/>
          <w:lang w:val="es-PR"/>
        </w:rPr>
        <w:t>¿Cuá</w:t>
      </w:r>
      <w:r w:rsidR="004D4BE4">
        <w:rPr>
          <w:rFonts w:ascii="Times New Roman" w:hAnsi="Times New Roman"/>
          <w:b/>
          <w:sz w:val="24"/>
          <w:lang w:val="es-PR"/>
        </w:rPr>
        <w:t xml:space="preserve">l es el proceso para cambiar un reintegro existente de un fallecido? </w:t>
      </w:r>
      <w:r w:rsidR="004D4BE4" w:rsidRPr="004B5277">
        <w:rPr>
          <w:rFonts w:ascii="Times New Roman" w:hAnsi="Times New Roman"/>
          <w:sz w:val="24"/>
          <w:lang w:val="es-PR"/>
        </w:rPr>
        <w:t>Completar el Formulario 4505 y acompañar con el certificado de Defunción debidamente certificada y si es casado el Acta De Matrimonio y presentarlo al Área de Tesoro División de Conciliación Piso 7 para proceder a cambio de nombre de cheque.</w:t>
      </w:r>
    </w:p>
    <w:p w:rsidR="00DA371D" w:rsidRDefault="00DA371D" w:rsidP="00DA371D">
      <w:pPr>
        <w:pStyle w:val="ListParagraph"/>
        <w:numPr>
          <w:ilvl w:val="0"/>
          <w:numId w:val="42"/>
        </w:numPr>
        <w:spacing w:before="120" w:after="120" w:line="240" w:lineRule="auto"/>
        <w:rPr>
          <w:rFonts w:ascii="Times New Roman" w:hAnsi="Times New Roman"/>
          <w:sz w:val="24"/>
          <w:lang w:val="es-PR"/>
        </w:rPr>
      </w:pPr>
      <w:r>
        <w:rPr>
          <w:rFonts w:ascii="Times New Roman" w:hAnsi="Times New Roman"/>
          <w:b/>
          <w:sz w:val="24"/>
          <w:lang w:val="es-PR"/>
        </w:rPr>
        <w:t xml:space="preserve">¿Qué son Bienes Privativos? </w:t>
      </w:r>
      <w:r w:rsidRPr="00F35201">
        <w:rPr>
          <w:rFonts w:ascii="Times New Roman" w:hAnsi="Times New Roman"/>
          <w:sz w:val="24"/>
          <w:lang w:val="es-PR"/>
        </w:rPr>
        <w:t>Son bienes propios, únicos, exclusivos de una persona en particular, y los cuales pueden pertenecer a más de una persona, aunque estén relacionadas entre sí. Estos bienes son los obtenidos con anterioridad al matrimonio, lo que se heredan durante el matrimonio o los obtenidos mediante derechos de permuta o cambio con otros bienes privativos y los comprados</w:t>
      </w:r>
      <w:r>
        <w:rPr>
          <w:rFonts w:ascii="Times New Roman" w:hAnsi="Times New Roman"/>
          <w:sz w:val="24"/>
          <w:lang w:val="es-PR"/>
        </w:rPr>
        <w:t xml:space="preserve"> con dinero exclusivamente privativo de la persona.</w:t>
      </w:r>
    </w:p>
    <w:p w:rsidR="00DA371D" w:rsidRDefault="006871A7" w:rsidP="00DA371D">
      <w:pPr>
        <w:pStyle w:val="ListParagraph"/>
        <w:numPr>
          <w:ilvl w:val="0"/>
          <w:numId w:val="42"/>
        </w:numPr>
        <w:spacing w:before="120" w:after="120" w:line="240" w:lineRule="auto"/>
        <w:rPr>
          <w:rFonts w:ascii="Times New Roman" w:hAnsi="Times New Roman"/>
          <w:sz w:val="24"/>
          <w:lang w:val="es-PR"/>
        </w:rPr>
      </w:pPr>
      <w:r>
        <w:rPr>
          <w:rFonts w:ascii="Times New Roman" w:hAnsi="Times New Roman"/>
          <w:b/>
          <w:sz w:val="24"/>
          <w:lang w:val="es-PR"/>
        </w:rPr>
        <w:t>¿Qué son B</w:t>
      </w:r>
      <w:r w:rsidR="00DA371D">
        <w:rPr>
          <w:rFonts w:ascii="Times New Roman" w:hAnsi="Times New Roman"/>
          <w:b/>
          <w:sz w:val="24"/>
          <w:lang w:val="es-PR"/>
        </w:rPr>
        <w:t xml:space="preserve">ienes Gananciales? </w:t>
      </w:r>
      <w:r w:rsidR="00DA371D" w:rsidRPr="00781F98">
        <w:rPr>
          <w:rFonts w:ascii="Times New Roman" w:hAnsi="Times New Roman"/>
          <w:sz w:val="24"/>
          <w:lang w:val="es-PR"/>
        </w:rPr>
        <w:t>Todos los bienes muebles e inmuebles que se adquieren durante el matrimonio, los cuales pertenecen a ambos y no a uno de los cónyuges.</w:t>
      </w:r>
    </w:p>
    <w:p w:rsidR="003B5CA7" w:rsidRPr="00477884" w:rsidRDefault="003B5CA7" w:rsidP="003B5CA7">
      <w:pPr>
        <w:pStyle w:val="ListParagraph"/>
        <w:numPr>
          <w:ilvl w:val="0"/>
          <w:numId w:val="42"/>
        </w:numPr>
        <w:spacing w:before="120" w:after="120" w:line="240" w:lineRule="auto"/>
        <w:rPr>
          <w:rFonts w:ascii="Times New Roman" w:hAnsi="Times New Roman"/>
          <w:sz w:val="24"/>
          <w:lang w:val="es-PR"/>
        </w:rPr>
      </w:pPr>
      <w:r>
        <w:rPr>
          <w:rFonts w:ascii="Times New Roman" w:hAnsi="Times New Roman"/>
          <w:b/>
          <w:sz w:val="24"/>
          <w:lang w:val="es-PR"/>
        </w:rPr>
        <w:t>¿Cuáles son los tipos de testamento existente?</w:t>
      </w:r>
    </w:p>
    <w:p w:rsidR="003B5CA7" w:rsidRPr="00D542BA" w:rsidRDefault="003B5CA7" w:rsidP="003B5CA7">
      <w:pPr>
        <w:pStyle w:val="ListParagraph"/>
        <w:numPr>
          <w:ilvl w:val="0"/>
          <w:numId w:val="45"/>
        </w:numPr>
        <w:rPr>
          <w:rFonts w:ascii="Times New Roman" w:hAnsi="Times New Roman"/>
          <w:sz w:val="24"/>
          <w:szCs w:val="24"/>
          <w:lang w:val="es-PR"/>
        </w:rPr>
      </w:pPr>
      <w:r w:rsidRPr="00D542BA">
        <w:rPr>
          <w:rFonts w:ascii="Times New Roman" w:hAnsi="Times New Roman"/>
          <w:b/>
          <w:sz w:val="24"/>
          <w:szCs w:val="24"/>
          <w:lang w:val="es-PR"/>
        </w:rPr>
        <w:t>Testamento abierto-</w:t>
      </w:r>
      <w:r w:rsidRPr="00D542BA">
        <w:rPr>
          <w:rFonts w:ascii="Times New Roman" w:hAnsi="Times New Roman"/>
          <w:sz w:val="24"/>
          <w:szCs w:val="24"/>
          <w:lang w:val="es-PR"/>
        </w:rPr>
        <w:t xml:space="preserve"> testamento que fue leído en voz alta ante testigos. </w:t>
      </w:r>
    </w:p>
    <w:p w:rsidR="003B5CA7" w:rsidRPr="00D542BA" w:rsidRDefault="003B5CA7" w:rsidP="003B5CA7">
      <w:pPr>
        <w:pStyle w:val="ListParagraph"/>
        <w:numPr>
          <w:ilvl w:val="0"/>
          <w:numId w:val="45"/>
        </w:numPr>
        <w:rPr>
          <w:rFonts w:ascii="Times New Roman" w:hAnsi="Times New Roman"/>
          <w:sz w:val="24"/>
          <w:szCs w:val="24"/>
          <w:lang w:val="es-PR"/>
        </w:rPr>
      </w:pPr>
      <w:r w:rsidRPr="00D542BA">
        <w:rPr>
          <w:rFonts w:ascii="Times New Roman" w:hAnsi="Times New Roman"/>
          <w:b/>
          <w:sz w:val="24"/>
          <w:szCs w:val="24"/>
          <w:lang w:val="es-PR"/>
        </w:rPr>
        <w:lastRenderedPageBreak/>
        <w:t xml:space="preserve">Testamento cerrado- </w:t>
      </w:r>
      <w:r w:rsidRPr="00D542BA">
        <w:rPr>
          <w:rFonts w:ascii="Times New Roman" w:hAnsi="Times New Roman"/>
          <w:sz w:val="24"/>
          <w:szCs w:val="24"/>
          <w:lang w:val="es-PR"/>
        </w:rPr>
        <w:t>testamento que no fue leído ante los testigos.</w:t>
      </w:r>
    </w:p>
    <w:p w:rsidR="001E5F9F" w:rsidRPr="00DD76C9" w:rsidRDefault="003B5CA7" w:rsidP="00CE341D">
      <w:pPr>
        <w:pStyle w:val="ListParagraph"/>
        <w:numPr>
          <w:ilvl w:val="0"/>
          <w:numId w:val="45"/>
        </w:numPr>
        <w:spacing w:before="120" w:after="120" w:line="240" w:lineRule="auto"/>
        <w:rPr>
          <w:rFonts w:ascii="Times New Roman" w:hAnsi="Times New Roman"/>
          <w:b/>
          <w:lang w:val="es-PR"/>
        </w:rPr>
      </w:pPr>
      <w:r w:rsidRPr="006871A7">
        <w:rPr>
          <w:rFonts w:ascii="Times New Roman" w:hAnsi="Times New Roman"/>
          <w:b/>
          <w:sz w:val="24"/>
          <w:szCs w:val="24"/>
          <w:lang w:val="es-PR"/>
        </w:rPr>
        <w:t>Testamento hológrafo-</w:t>
      </w:r>
      <w:r w:rsidRPr="006871A7">
        <w:rPr>
          <w:rFonts w:ascii="Times New Roman" w:hAnsi="Times New Roman"/>
          <w:sz w:val="24"/>
          <w:szCs w:val="24"/>
          <w:lang w:val="es-PR"/>
        </w:rPr>
        <w:t xml:space="preserve"> testamento  preparado a puño y letra del causante. Es importante indicar el número de caso del Tribunal mediante el cual dicho testamento se validó o protocolizó.</w:t>
      </w:r>
    </w:p>
    <w:p w:rsidR="00DD76C9" w:rsidRPr="00DD76C9" w:rsidRDefault="00DD76C9" w:rsidP="00DD76C9">
      <w:pPr>
        <w:pStyle w:val="ListParagraph"/>
        <w:spacing w:before="120" w:after="120" w:line="240" w:lineRule="auto"/>
        <w:rPr>
          <w:rFonts w:ascii="Times New Roman" w:hAnsi="Times New Roman"/>
          <w:b/>
          <w:lang w:val="es-PR"/>
        </w:rPr>
      </w:pPr>
    </w:p>
    <w:sectPr w:rsidR="00DD76C9" w:rsidRPr="00DD76C9" w:rsidSect="006B2DBC">
      <w:headerReference w:type="even" r:id="rId22"/>
      <w:headerReference w:type="default" r:id="rId23"/>
      <w:footerReference w:type="even" r:id="rId24"/>
      <w:footerReference w:type="default" r:id="rId25"/>
      <w:headerReference w:type="first" r:id="rId26"/>
      <w:footerReference w:type="first" r:id="rId27"/>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F93" w:rsidRDefault="00FB7F93" w:rsidP="005501A9">
      <w:pPr>
        <w:spacing w:after="0" w:line="240" w:lineRule="auto"/>
      </w:pPr>
      <w:r>
        <w:separator/>
      </w:r>
    </w:p>
  </w:endnote>
  <w:endnote w:type="continuationSeparator" w:id="0">
    <w:p w:rsidR="00FB7F93" w:rsidRDefault="00FB7F93"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29" w:rsidRDefault="00E359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D10C91" w:rsidRPr="00DD2BC9" w:rsidTr="00334CDD">
      <w:tc>
        <w:tcPr>
          <w:tcW w:w="918" w:type="dxa"/>
        </w:tcPr>
        <w:p w:rsidR="00D10C91" w:rsidRDefault="00D10C91" w:rsidP="00334CDD">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8"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EB5D65" w:rsidRPr="002F4D2A">
            <w:rPr>
              <w:rFonts w:ascii="Times New Roman" w:hAnsi="Times New Roman"/>
              <w:sz w:val="28"/>
              <w:szCs w:val="28"/>
            </w:rPr>
            <w:fldChar w:fldCharType="begin"/>
          </w:r>
          <w:r w:rsidRPr="002F4D2A">
            <w:rPr>
              <w:rFonts w:ascii="Times New Roman" w:hAnsi="Times New Roman"/>
              <w:sz w:val="28"/>
              <w:szCs w:val="28"/>
            </w:rPr>
            <w:instrText xml:space="preserve"> PAGE   \* MERGEFORMAT </w:instrText>
          </w:r>
          <w:r w:rsidR="00EB5D65" w:rsidRPr="002F4D2A">
            <w:rPr>
              <w:rFonts w:ascii="Times New Roman" w:hAnsi="Times New Roman"/>
              <w:sz w:val="28"/>
              <w:szCs w:val="28"/>
            </w:rPr>
            <w:fldChar w:fldCharType="separate"/>
          </w:r>
          <w:r w:rsidR="00DD2BC9" w:rsidRPr="00DD2BC9">
            <w:rPr>
              <w:rFonts w:ascii="Times New Roman" w:hAnsi="Times New Roman"/>
              <w:b/>
              <w:noProof/>
              <w:sz w:val="28"/>
              <w:szCs w:val="28"/>
            </w:rPr>
            <w:t>1</w:t>
          </w:r>
          <w:r w:rsidR="00EB5D65" w:rsidRPr="002F4D2A">
            <w:rPr>
              <w:rFonts w:ascii="Times New Roman" w:hAnsi="Times New Roman"/>
              <w:sz w:val="28"/>
              <w:szCs w:val="28"/>
            </w:rPr>
            <w:fldChar w:fldCharType="end"/>
          </w:r>
        </w:p>
      </w:tc>
      <w:tc>
        <w:tcPr>
          <w:tcW w:w="7938" w:type="dxa"/>
        </w:tcPr>
        <w:p w:rsidR="00D10C91" w:rsidRDefault="00D10C91" w:rsidP="00334CDD">
          <w:pPr>
            <w:pStyle w:val="Footer"/>
            <w:jc w:val="center"/>
            <w:rPr>
              <w:rFonts w:ascii="Times New Roman" w:hAnsi="Times New Roman"/>
              <w:lang w:val="es-PR"/>
            </w:rPr>
          </w:pPr>
        </w:p>
        <w:p w:rsidR="00D10C91" w:rsidRDefault="00D10C91" w:rsidP="00334CDD">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D10C91" w:rsidRDefault="00D10C91" w:rsidP="00334CDD">
          <w:pPr>
            <w:pStyle w:val="Footer"/>
            <w:jc w:val="center"/>
            <w:rPr>
              <w:rFonts w:ascii="Times New Roman" w:hAnsi="Times New Roman"/>
              <w:sz w:val="16"/>
              <w:szCs w:val="16"/>
              <w:lang w:val="es-PR"/>
            </w:rPr>
          </w:pPr>
        </w:p>
        <w:p w:rsidR="00D10C91" w:rsidRPr="002F4D2A" w:rsidRDefault="00D10C91" w:rsidP="00334CDD">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D10C91" w:rsidRPr="0079658A" w:rsidRDefault="00D10C91" w:rsidP="00D10C91">
    <w:pPr>
      <w:rPr>
        <w:lang w:val="es-PR"/>
      </w:rPr>
    </w:pPr>
  </w:p>
  <w:p w:rsidR="00CF03B8" w:rsidRPr="00D10C91" w:rsidRDefault="00CF03B8" w:rsidP="00D10C91">
    <w:pPr>
      <w:pStyle w:val="Footer"/>
      <w:rPr>
        <w:lang w:val="es-P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29" w:rsidRDefault="00E359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F93" w:rsidRDefault="00FB7F93" w:rsidP="005501A9">
      <w:pPr>
        <w:spacing w:after="0" w:line="240" w:lineRule="auto"/>
      </w:pPr>
      <w:r>
        <w:separator/>
      </w:r>
    </w:p>
  </w:footnote>
  <w:footnote w:type="continuationSeparator" w:id="0">
    <w:p w:rsidR="00FB7F93" w:rsidRDefault="00FB7F93"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29" w:rsidRDefault="00E359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C42F34" w:rsidRPr="00DD2BC9" w:rsidTr="00334CDD">
      <w:trPr>
        <w:trHeight w:val="288"/>
      </w:trPr>
      <w:tc>
        <w:tcPr>
          <w:tcW w:w="7765" w:type="dxa"/>
        </w:tcPr>
        <w:p w:rsidR="00C42F34" w:rsidRDefault="00C42F34" w:rsidP="00334CD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 xml:space="preserve">mento de Hacienda </w:t>
          </w:r>
        </w:p>
        <w:p w:rsidR="00C42F34" w:rsidRPr="006871A7" w:rsidRDefault="00C42F34" w:rsidP="00334CDD">
          <w:pPr>
            <w:tabs>
              <w:tab w:val="center" w:pos="4680"/>
            </w:tabs>
            <w:spacing w:after="0" w:line="240" w:lineRule="auto"/>
            <w:ind w:right="-90"/>
            <w:rPr>
              <w:rFonts w:ascii="Times New Roman" w:hAnsi="Times New Roman"/>
              <w:sz w:val="32"/>
              <w:szCs w:val="32"/>
              <w:lang w:val="es-PR"/>
            </w:rPr>
          </w:pPr>
          <w:r w:rsidRPr="006871A7">
            <w:rPr>
              <w:rFonts w:ascii="Times New Roman" w:hAnsi="Times New Roman"/>
              <w:sz w:val="32"/>
              <w:szCs w:val="32"/>
              <w:lang w:val="es-PR"/>
            </w:rPr>
            <w:t>Área de Rentas Internas</w:t>
          </w:r>
        </w:p>
        <w:p w:rsidR="00C42F34" w:rsidRPr="00446DFA" w:rsidRDefault="00C42F34" w:rsidP="00334CDD">
          <w:pPr>
            <w:spacing w:after="0" w:line="240" w:lineRule="auto"/>
            <w:rPr>
              <w:rFonts w:ascii="Times New Roman" w:hAnsi="Times New Roman"/>
              <w:sz w:val="28"/>
              <w:szCs w:val="28"/>
              <w:lang w:val="es-PR"/>
            </w:rPr>
          </w:pPr>
          <w:r>
            <w:rPr>
              <w:rFonts w:ascii="Times New Roman" w:hAnsi="Times New Roman"/>
              <w:sz w:val="28"/>
              <w:szCs w:val="28"/>
              <w:lang w:val="es-PR"/>
            </w:rPr>
            <w:t>Negociado de Procesamiento de Planillas</w:t>
          </w:r>
        </w:p>
        <w:p w:rsidR="00C42F34" w:rsidRPr="004C743D" w:rsidRDefault="00C42F34" w:rsidP="00334CDD">
          <w:pPr>
            <w:spacing w:after="0" w:line="240" w:lineRule="auto"/>
            <w:rPr>
              <w:rFonts w:ascii="Times New Roman" w:hAnsi="Times New Roman"/>
              <w:b/>
              <w:sz w:val="28"/>
              <w:szCs w:val="28"/>
              <w:lang w:val="es-PR"/>
            </w:rPr>
          </w:pPr>
          <w:r>
            <w:rPr>
              <w:rFonts w:ascii="Times New Roman" w:hAnsi="Times New Roman"/>
              <w:b/>
              <w:sz w:val="28"/>
              <w:szCs w:val="28"/>
              <w:lang w:val="es-PR"/>
            </w:rPr>
            <w:t>Planilla d</w:t>
          </w:r>
          <w:r w:rsidR="00BC4E53">
            <w:rPr>
              <w:rFonts w:ascii="Times New Roman" w:hAnsi="Times New Roman"/>
              <w:b/>
              <w:sz w:val="28"/>
              <w:szCs w:val="28"/>
              <w:lang w:val="es-PR"/>
            </w:rPr>
            <w:t>e</w:t>
          </w:r>
          <w:r w:rsidR="00034B13">
            <w:rPr>
              <w:rFonts w:ascii="Times New Roman" w:hAnsi="Times New Roman"/>
              <w:b/>
              <w:sz w:val="28"/>
              <w:szCs w:val="28"/>
              <w:lang w:val="es-PR"/>
            </w:rPr>
            <w:t xml:space="preserve"> Caudal Relicto (</w:t>
          </w:r>
          <w:r w:rsidRPr="00446DFA">
            <w:rPr>
              <w:rFonts w:ascii="Times New Roman" w:hAnsi="Times New Roman"/>
              <w:b/>
              <w:sz w:val="28"/>
              <w:szCs w:val="28"/>
              <w:lang w:val="es-PR"/>
            </w:rPr>
            <w:t>Herencia)</w:t>
          </w:r>
          <w:r>
            <w:rPr>
              <w:rFonts w:ascii="Times New Roman" w:hAnsi="Times New Roman"/>
              <w:b/>
              <w:sz w:val="28"/>
              <w:szCs w:val="28"/>
              <w:lang w:val="es-PR"/>
            </w:rPr>
            <w:t xml:space="preserve"> </w:t>
          </w:r>
          <w:r w:rsidR="00034B13">
            <w:rPr>
              <w:rFonts w:ascii="Times New Roman" w:hAnsi="Times New Roman"/>
              <w:b/>
              <w:sz w:val="28"/>
              <w:szCs w:val="28"/>
              <w:lang w:val="es-PR"/>
            </w:rPr>
            <w:t xml:space="preserve">(Modelo </w:t>
          </w:r>
          <w:r w:rsidR="00173DF8">
            <w:rPr>
              <w:rFonts w:ascii="Times New Roman" w:hAnsi="Times New Roman"/>
              <w:b/>
              <w:sz w:val="28"/>
              <w:szCs w:val="28"/>
              <w:lang w:val="es-PR"/>
            </w:rPr>
            <w:t xml:space="preserve">SC </w:t>
          </w:r>
          <w:r>
            <w:rPr>
              <w:rFonts w:ascii="Times New Roman" w:hAnsi="Times New Roman"/>
              <w:b/>
              <w:sz w:val="28"/>
              <w:szCs w:val="28"/>
              <w:lang w:val="es-PR"/>
            </w:rPr>
            <w:t>2800B</w:t>
          </w:r>
          <w:r w:rsidR="00034B13">
            <w:rPr>
              <w:rFonts w:ascii="Times New Roman" w:hAnsi="Times New Roman"/>
              <w:b/>
              <w:sz w:val="28"/>
              <w:szCs w:val="28"/>
              <w:lang w:val="es-PR"/>
            </w:rPr>
            <w:t>)</w:t>
          </w:r>
        </w:p>
      </w:tc>
      <w:tc>
        <w:tcPr>
          <w:tcW w:w="1105" w:type="dxa"/>
        </w:tcPr>
        <w:p w:rsidR="00C42F34" w:rsidRPr="00D049E5" w:rsidRDefault="00EB5D65" w:rsidP="00334CDD">
          <w:pPr>
            <w:pStyle w:val="Header"/>
            <w:rPr>
              <w:rFonts w:asciiTheme="majorHAnsi" w:eastAsiaTheme="majorEastAsia" w:hAnsiTheme="majorHAnsi" w:cstheme="majorBidi"/>
              <w:b/>
              <w:bCs/>
              <w:color w:val="4F81BD" w:themeColor="accent1"/>
              <w:sz w:val="36"/>
              <w:szCs w:val="36"/>
              <w:lang w:val="es-PR"/>
            </w:rPr>
          </w:pPr>
          <w:r w:rsidRPr="00EB5D65">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2" type="#_x0000_t202" style="position:absolute;margin-left:-2.75pt;margin-top:41.85pt;width:85.5pt;height:29.2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C42F34" w:rsidRDefault="000478A4" w:rsidP="00C42F34">
                      <w:pPr>
                        <w:spacing w:after="0" w:line="240" w:lineRule="auto"/>
                        <w:jc w:val="center"/>
                        <w:rPr>
                          <w:rFonts w:ascii="Times New Roman" w:hAnsi="Times New Roman"/>
                          <w:sz w:val="16"/>
                          <w:szCs w:val="16"/>
                          <w:lang w:val="es-PR"/>
                        </w:rPr>
                      </w:pPr>
                      <w:r>
                        <w:rPr>
                          <w:rFonts w:ascii="Times New Roman" w:hAnsi="Times New Roman"/>
                          <w:sz w:val="16"/>
                          <w:szCs w:val="16"/>
                          <w:lang w:val="es-PR"/>
                        </w:rPr>
                        <w:t>NPP</w:t>
                      </w:r>
                      <w:r w:rsidR="00C42F34">
                        <w:rPr>
                          <w:rFonts w:ascii="Times New Roman" w:hAnsi="Times New Roman"/>
                          <w:sz w:val="16"/>
                          <w:szCs w:val="16"/>
                          <w:lang w:val="es-PR"/>
                        </w:rPr>
                        <w:t>-00</w:t>
                      </w:r>
                      <w:r>
                        <w:rPr>
                          <w:rFonts w:ascii="Times New Roman" w:hAnsi="Times New Roman"/>
                          <w:sz w:val="16"/>
                          <w:szCs w:val="16"/>
                          <w:lang w:val="es-PR"/>
                        </w:rPr>
                        <w:t>5</w:t>
                      </w:r>
                    </w:p>
                    <w:p w:rsidR="00C42F34" w:rsidRPr="002608D6" w:rsidRDefault="00C94748" w:rsidP="00C42F34">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25</w:t>
                      </w:r>
                      <w:r w:rsidR="00C42F34">
                        <w:rPr>
                          <w:rFonts w:ascii="Times New Roman" w:hAnsi="Times New Roman"/>
                          <w:sz w:val="16"/>
                          <w:szCs w:val="16"/>
                          <w:lang w:val="es-PR"/>
                        </w:rPr>
                        <w:t>-ago</w:t>
                      </w:r>
                      <w:r w:rsidR="00C42F34" w:rsidRPr="00446DFA">
                        <w:rPr>
                          <w:rFonts w:ascii="Times New Roman" w:hAnsi="Times New Roman"/>
                          <w:sz w:val="16"/>
                          <w:szCs w:val="16"/>
                          <w:lang w:val="es-PR"/>
                        </w:rPr>
                        <w:t>-15</w:t>
                      </w:r>
                    </w:p>
                  </w:txbxContent>
                </v:textbox>
              </v:shape>
            </w:pict>
          </w:r>
        </w:p>
      </w:tc>
    </w:tr>
  </w:tbl>
  <w:p w:rsidR="00CF03B8" w:rsidRPr="00C42F34" w:rsidRDefault="00CF03B8" w:rsidP="00C42F34">
    <w:pPr>
      <w:pStyle w:val="Header"/>
      <w:spacing w:line="120" w:lineRule="exact"/>
      <w:rPr>
        <w:szCs w:val="18"/>
        <w:lang w:val="es-P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29" w:rsidRDefault="00E359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897"/>
    <w:multiLevelType w:val="hybridMultilevel"/>
    <w:tmpl w:val="AD562D3A"/>
    <w:lvl w:ilvl="0" w:tplc="500A000F">
      <w:start w:val="1"/>
      <w:numFmt w:val="decimal"/>
      <w:lvlText w:val="%1."/>
      <w:lvlJc w:val="left"/>
      <w:pPr>
        <w:ind w:left="360" w:hanging="360"/>
      </w:pPr>
    </w:lvl>
    <w:lvl w:ilvl="1" w:tplc="500A0019">
      <w:start w:val="1"/>
      <w:numFmt w:val="lowerLetter"/>
      <w:lvlText w:val="%2."/>
      <w:lvlJc w:val="left"/>
      <w:pPr>
        <w:ind w:left="1080" w:hanging="360"/>
      </w:pPr>
    </w:lvl>
    <w:lvl w:ilvl="2" w:tplc="500A001B" w:tentative="1">
      <w:start w:val="1"/>
      <w:numFmt w:val="lowerRoman"/>
      <w:lvlText w:val="%3."/>
      <w:lvlJc w:val="right"/>
      <w:pPr>
        <w:ind w:left="1800" w:hanging="180"/>
      </w:pPr>
    </w:lvl>
    <w:lvl w:ilvl="3" w:tplc="500A000F" w:tentative="1">
      <w:start w:val="1"/>
      <w:numFmt w:val="decimal"/>
      <w:lvlText w:val="%4."/>
      <w:lvlJc w:val="left"/>
      <w:pPr>
        <w:ind w:left="2520" w:hanging="360"/>
      </w:pPr>
    </w:lvl>
    <w:lvl w:ilvl="4" w:tplc="500A0019" w:tentative="1">
      <w:start w:val="1"/>
      <w:numFmt w:val="lowerLetter"/>
      <w:lvlText w:val="%5."/>
      <w:lvlJc w:val="left"/>
      <w:pPr>
        <w:ind w:left="3240" w:hanging="360"/>
      </w:pPr>
    </w:lvl>
    <w:lvl w:ilvl="5" w:tplc="500A001B" w:tentative="1">
      <w:start w:val="1"/>
      <w:numFmt w:val="lowerRoman"/>
      <w:lvlText w:val="%6."/>
      <w:lvlJc w:val="right"/>
      <w:pPr>
        <w:ind w:left="3960" w:hanging="180"/>
      </w:pPr>
    </w:lvl>
    <w:lvl w:ilvl="6" w:tplc="500A000F" w:tentative="1">
      <w:start w:val="1"/>
      <w:numFmt w:val="decimal"/>
      <w:lvlText w:val="%7."/>
      <w:lvlJc w:val="left"/>
      <w:pPr>
        <w:ind w:left="4680" w:hanging="360"/>
      </w:pPr>
    </w:lvl>
    <w:lvl w:ilvl="7" w:tplc="500A0019" w:tentative="1">
      <w:start w:val="1"/>
      <w:numFmt w:val="lowerLetter"/>
      <w:lvlText w:val="%8."/>
      <w:lvlJc w:val="left"/>
      <w:pPr>
        <w:ind w:left="5400" w:hanging="360"/>
      </w:pPr>
    </w:lvl>
    <w:lvl w:ilvl="8" w:tplc="500A001B" w:tentative="1">
      <w:start w:val="1"/>
      <w:numFmt w:val="lowerRoman"/>
      <w:lvlText w:val="%9."/>
      <w:lvlJc w:val="right"/>
      <w:pPr>
        <w:ind w:left="6120" w:hanging="180"/>
      </w:pPr>
    </w:lvl>
  </w:abstractNum>
  <w:abstractNum w:abstractNumId="1">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10874"/>
    <w:multiLevelType w:val="hybridMultilevel"/>
    <w:tmpl w:val="3E7C96C6"/>
    <w:lvl w:ilvl="0" w:tplc="500A0001">
      <w:start w:val="1"/>
      <w:numFmt w:val="bullet"/>
      <w:lvlText w:val=""/>
      <w:lvlJc w:val="left"/>
      <w:pPr>
        <w:ind w:left="1080" w:hanging="360"/>
      </w:pPr>
      <w:rPr>
        <w:rFonts w:ascii="Symbol" w:hAnsi="Symbol" w:hint="default"/>
      </w:rPr>
    </w:lvl>
    <w:lvl w:ilvl="1" w:tplc="500A000F">
      <w:start w:val="1"/>
      <w:numFmt w:val="decimal"/>
      <w:lvlText w:val="%2."/>
      <w:lvlJc w:val="left"/>
      <w:pPr>
        <w:ind w:left="1800" w:hanging="360"/>
      </w:pPr>
      <w:rPr>
        <w:rFonts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F9C0DF7"/>
    <w:multiLevelType w:val="hybridMultilevel"/>
    <w:tmpl w:val="22E8654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35059E"/>
    <w:multiLevelType w:val="hybridMultilevel"/>
    <w:tmpl w:val="6A5E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16752F57"/>
    <w:multiLevelType w:val="hybridMultilevel"/>
    <w:tmpl w:val="C4F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A3D20"/>
    <w:multiLevelType w:val="hybridMultilevel"/>
    <w:tmpl w:val="871497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C3F25E9"/>
    <w:multiLevelType w:val="hybridMultilevel"/>
    <w:tmpl w:val="359C1ED2"/>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5">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9A1DDC"/>
    <w:multiLevelType w:val="hybridMultilevel"/>
    <w:tmpl w:val="37447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607E85"/>
    <w:multiLevelType w:val="hybridMultilevel"/>
    <w:tmpl w:val="FF34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F4CF2"/>
    <w:multiLevelType w:val="hybridMultilevel"/>
    <w:tmpl w:val="6E1EFC64"/>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0">
    <w:nsid w:val="36F35249"/>
    <w:multiLevelType w:val="hybridMultilevel"/>
    <w:tmpl w:val="2F6E11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90C64"/>
    <w:multiLevelType w:val="hybridMultilevel"/>
    <w:tmpl w:val="0F50E86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443617C6"/>
    <w:multiLevelType w:val="hybridMultilevel"/>
    <w:tmpl w:val="94F88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59648AF"/>
    <w:multiLevelType w:val="hybridMultilevel"/>
    <w:tmpl w:val="DF94D7F2"/>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6">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144093"/>
    <w:multiLevelType w:val="hybridMultilevel"/>
    <w:tmpl w:val="B99E82C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4E4D3660"/>
    <w:multiLevelType w:val="hybridMultilevel"/>
    <w:tmpl w:val="A4083C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FDD20DA"/>
    <w:multiLevelType w:val="hybridMultilevel"/>
    <w:tmpl w:val="17AA3C0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0">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69B4062"/>
    <w:multiLevelType w:val="hybridMultilevel"/>
    <w:tmpl w:val="51A4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5">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7">
    <w:nsid w:val="631C6E3F"/>
    <w:multiLevelType w:val="hybridMultilevel"/>
    <w:tmpl w:val="A4B0928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2">
    <w:nsid w:val="6B876C34"/>
    <w:multiLevelType w:val="hybridMultilevel"/>
    <w:tmpl w:val="AD12092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3">
    <w:nsid w:val="6C6E02FF"/>
    <w:multiLevelType w:val="hybridMultilevel"/>
    <w:tmpl w:val="5BBCB90C"/>
    <w:lvl w:ilvl="0" w:tplc="500A000F">
      <w:start w:val="1"/>
      <w:numFmt w:val="decimal"/>
      <w:lvlText w:val="%1."/>
      <w:lvlJc w:val="left"/>
      <w:pPr>
        <w:ind w:left="1440" w:hanging="360"/>
      </w:p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44">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C87E92"/>
    <w:multiLevelType w:val="hybridMultilevel"/>
    <w:tmpl w:val="9C24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2B04F5"/>
    <w:multiLevelType w:val="hybridMultilevel"/>
    <w:tmpl w:val="5FAC9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1FE8C2C">
      <w:start w:val="1"/>
      <w:numFmt w:val="lowerLetter"/>
      <w:lvlText w:val="%3."/>
      <w:lvlJc w:val="left"/>
      <w:pPr>
        <w:ind w:left="2160" w:hanging="360"/>
      </w:pPr>
      <w:rPr>
        <w:rFonts w:ascii="Times New Roman" w:eastAsia="Calibri" w:hAnsi="Times New Roman" w:cs="Times New Roman"/>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2"/>
  </w:num>
  <w:num w:numId="2">
    <w:abstractNumId w:val="40"/>
  </w:num>
  <w:num w:numId="3">
    <w:abstractNumId w:val="41"/>
  </w:num>
  <w:num w:numId="4">
    <w:abstractNumId w:val="47"/>
  </w:num>
  <w:num w:numId="5">
    <w:abstractNumId w:val="26"/>
  </w:num>
  <w:num w:numId="6">
    <w:abstractNumId w:val="21"/>
  </w:num>
  <w:num w:numId="7">
    <w:abstractNumId w:val="33"/>
  </w:num>
  <w:num w:numId="8">
    <w:abstractNumId w:val="17"/>
  </w:num>
  <w:num w:numId="9">
    <w:abstractNumId w:val="38"/>
  </w:num>
  <w:num w:numId="10">
    <w:abstractNumId w:val="15"/>
  </w:num>
  <w:num w:numId="11">
    <w:abstractNumId w:val="1"/>
  </w:num>
  <w:num w:numId="12">
    <w:abstractNumId w:val="44"/>
  </w:num>
  <w:num w:numId="13">
    <w:abstractNumId w:val="4"/>
  </w:num>
  <w:num w:numId="14">
    <w:abstractNumId w:val="39"/>
  </w:num>
  <w:num w:numId="15">
    <w:abstractNumId w:val="11"/>
  </w:num>
  <w:num w:numId="16">
    <w:abstractNumId w:val="31"/>
  </w:num>
  <w:num w:numId="17">
    <w:abstractNumId w:val="7"/>
  </w:num>
  <w:num w:numId="18">
    <w:abstractNumId w:val="36"/>
  </w:num>
  <w:num w:numId="19">
    <w:abstractNumId w:val="22"/>
  </w:num>
  <w:num w:numId="20">
    <w:abstractNumId w:val="34"/>
  </w:num>
  <w:num w:numId="21">
    <w:abstractNumId w:val="19"/>
  </w:num>
  <w:num w:numId="22">
    <w:abstractNumId w:val="2"/>
  </w:num>
  <w:num w:numId="23">
    <w:abstractNumId w:val="42"/>
  </w:num>
  <w:num w:numId="24">
    <w:abstractNumId w:val="43"/>
  </w:num>
  <w:num w:numId="25">
    <w:abstractNumId w:val="14"/>
  </w:num>
  <w:num w:numId="26">
    <w:abstractNumId w:val="0"/>
  </w:num>
  <w:num w:numId="27">
    <w:abstractNumId w:val="29"/>
  </w:num>
  <w:num w:numId="28">
    <w:abstractNumId w:val="25"/>
  </w:num>
  <w:num w:numId="29">
    <w:abstractNumId w:val="23"/>
  </w:num>
  <w:num w:numId="30">
    <w:abstractNumId w:val="32"/>
  </w:num>
  <w:num w:numId="31">
    <w:abstractNumId w:val="6"/>
  </w:num>
  <w:num w:numId="32">
    <w:abstractNumId w:val="27"/>
  </w:num>
  <w:num w:numId="33">
    <w:abstractNumId w:val="9"/>
  </w:num>
  <w:num w:numId="34">
    <w:abstractNumId w:val="46"/>
  </w:num>
  <w:num w:numId="35">
    <w:abstractNumId w:val="45"/>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5"/>
  </w:num>
  <w:num w:numId="39">
    <w:abstractNumId w:val="24"/>
  </w:num>
  <w:num w:numId="40">
    <w:abstractNumId w:val="28"/>
  </w:num>
  <w:num w:numId="41">
    <w:abstractNumId w:val="13"/>
  </w:num>
  <w:num w:numId="42">
    <w:abstractNumId w:val="30"/>
  </w:num>
  <w:num w:numId="43">
    <w:abstractNumId w:val="10"/>
  </w:num>
  <w:num w:numId="44">
    <w:abstractNumId w:val="35"/>
  </w:num>
  <w:num w:numId="45">
    <w:abstractNumId w:val="20"/>
  </w:num>
  <w:num w:numId="46">
    <w:abstractNumId w:val="16"/>
  </w:num>
  <w:num w:numId="47">
    <w:abstractNumId w:val="3"/>
  </w:num>
  <w:num w:numId="48">
    <w:abstractNumId w:val="18"/>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72706"/>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31913"/>
    <w:rsid w:val="00032898"/>
    <w:rsid w:val="00032D48"/>
    <w:rsid w:val="00034B13"/>
    <w:rsid w:val="00035A7B"/>
    <w:rsid w:val="00037674"/>
    <w:rsid w:val="000458BF"/>
    <w:rsid w:val="000478A4"/>
    <w:rsid w:val="000517CD"/>
    <w:rsid w:val="00052A95"/>
    <w:rsid w:val="0005534A"/>
    <w:rsid w:val="00057000"/>
    <w:rsid w:val="000654F9"/>
    <w:rsid w:val="00066C33"/>
    <w:rsid w:val="000674D5"/>
    <w:rsid w:val="00071018"/>
    <w:rsid w:val="0007270C"/>
    <w:rsid w:val="00075B22"/>
    <w:rsid w:val="00075B7B"/>
    <w:rsid w:val="00076DE8"/>
    <w:rsid w:val="00077B18"/>
    <w:rsid w:val="0009017E"/>
    <w:rsid w:val="00091C87"/>
    <w:rsid w:val="00091C9C"/>
    <w:rsid w:val="000940BF"/>
    <w:rsid w:val="00095162"/>
    <w:rsid w:val="0009685B"/>
    <w:rsid w:val="000A1207"/>
    <w:rsid w:val="000A19E1"/>
    <w:rsid w:val="000A6877"/>
    <w:rsid w:val="000B2831"/>
    <w:rsid w:val="000B69D3"/>
    <w:rsid w:val="000C5283"/>
    <w:rsid w:val="000C67EF"/>
    <w:rsid w:val="000D60F9"/>
    <w:rsid w:val="000E0443"/>
    <w:rsid w:val="000E4017"/>
    <w:rsid w:val="000F40B6"/>
    <w:rsid w:val="000F7989"/>
    <w:rsid w:val="00101F32"/>
    <w:rsid w:val="0011279C"/>
    <w:rsid w:val="001143FE"/>
    <w:rsid w:val="00122E19"/>
    <w:rsid w:val="00125BD1"/>
    <w:rsid w:val="00125E0D"/>
    <w:rsid w:val="00126FC9"/>
    <w:rsid w:val="00133BAB"/>
    <w:rsid w:val="00134878"/>
    <w:rsid w:val="001356F1"/>
    <w:rsid w:val="00142FD6"/>
    <w:rsid w:val="0014766A"/>
    <w:rsid w:val="00162D4A"/>
    <w:rsid w:val="00164139"/>
    <w:rsid w:val="0016664C"/>
    <w:rsid w:val="00173985"/>
    <w:rsid w:val="00173DF8"/>
    <w:rsid w:val="00174283"/>
    <w:rsid w:val="00175C1F"/>
    <w:rsid w:val="00181A79"/>
    <w:rsid w:val="00182153"/>
    <w:rsid w:val="00185C9B"/>
    <w:rsid w:val="00185F44"/>
    <w:rsid w:val="001860B9"/>
    <w:rsid w:val="00191D71"/>
    <w:rsid w:val="00194922"/>
    <w:rsid w:val="001A49AE"/>
    <w:rsid w:val="001B2998"/>
    <w:rsid w:val="001B4194"/>
    <w:rsid w:val="001B5E3B"/>
    <w:rsid w:val="001B6C87"/>
    <w:rsid w:val="001C147E"/>
    <w:rsid w:val="001C2D5F"/>
    <w:rsid w:val="001C4B1B"/>
    <w:rsid w:val="001C7A01"/>
    <w:rsid w:val="001D0911"/>
    <w:rsid w:val="001D586F"/>
    <w:rsid w:val="001E1870"/>
    <w:rsid w:val="001E3DF1"/>
    <w:rsid w:val="001E5F9F"/>
    <w:rsid w:val="001E770C"/>
    <w:rsid w:val="001F50AF"/>
    <w:rsid w:val="002004EC"/>
    <w:rsid w:val="0020276F"/>
    <w:rsid w:val="002036C5"/>
    <w:rsid w:val="00203A78"/>
    <w:rsid w:val="00204116"/>
    <w:rsid w:val="002058B4"/>
    <w:rsid w:val="002069F5"/>
    <w:rsid w:val="002178F4"/>
    <w:rsid w:val="002241F3"/>
    <w:rsid w:val="00224796"/>
    <w:rsid w:val="00225FE9"/>
    <w:rsid w:val="00231ED1"/>
    <w:rsid w:val="00236370"/>
    <w:rsid w:val="00237BDC"/>
    <w:rsid w:val="00245FEB"/>
    <w:rsid w:val="002501E2"/>
    <w:rsid w:val="00265792"/>
    <w:rsid w:val="0026787D"/>
    <w:rsid w:val="00267DA0"/>
    <w:rsid w:val="002734CB"/>
    <w:rsid w:val="0027646A"/>
    <w:rsid w:val="00277BF0"/>
    <w:rsid w:val="00285FF6"/>
    <w:rsid w:val="002908E3"/>
    <w:rsid w:val="002A71F9"/>
    <w:rsid w:val="002A7ACF"/>
    <w:rsid w:val="002B5156"/>
    <w:rsid w:val="002C1753"/>
    <w:rsid w:val="002D1E0C"/>
    <w:rsid w:val="002D3544"/>
    <w:rsid w:val="002D3658"/>
    <w:rsid w:val="002E2F37"/>
    <w:rsid w:val="002F030A"/>
    <w:rsid w:val="002F2A29"/>
    <w:rsid w:val="002F38A5"/>
    <w:rsid w:val="0030058C"/>
    <w:rsid w:val="003017A1"/>
    <w:rsid w:val="00303BF4"/>
    <w:rsid w:val="00306286"/>
    <w:rsid w:val="00307F9A"/>
    <w:rsid w:val="00314199"/>
    <w:rsid w:val="003258F0"/>
    <w:rsid w:val="003269AE"/>
    <w:rsid w:val="0033701A"/>
    <w:rsid w:val="00344E42"/>
    <w:rsid w:val="003556DB"/>
    <w:rsid w:val="00362B7B"/>
    <w:rsid w:val="00362F82"/>
    <w:rsid w:val="00363152"/>
    <w:rsid w:val="0036675A"/>
    <w:rsid w:val="00370141"/>
    <w:rsid w:val="00393F9D"/>
    <w:rsid w:val="003942B8"/>
    <w:rsid w:val="003950A0"/>
    <w:rsid w:val="00396926"/>
    <w:rsid w:val="00396981"/>
    <w:rsid w:val="003A20CF"/>
    <w:rsid w:val="003A7310"/>
    <w:rsid w:val="003B4575"/>
    <w:rsid w:val="003B4D8C"/>
    <w:rsid w:val="003B5CA7"/>
    <w:rsid w:val="003B6930"/>
    <w:rsid w:val="003C6015"/>
    <w:rsid w:val="003D5CE4"/>
    <w:rsid w:val="003E0674"/>
    <w:rsid w:val="003E3CF4"/>
    <w:rsid w:val="003F0271"/>
    <w:rsid w:val="003F0B9F"/>
    <w:rsid w:val="003F6E61"/>
    <w:rsid w:val="003F6F56"/>
    <w:rsid w:val="003F7B76"/>
    <w:rsid w:val="003F7EF4"/>
    <w:rsid w:val="004012B7"/>
    <w:rsid w:val="00406783"/>
    <w:rsid w:val="00410854"/>
    <w:rsid w:val="00412C48"/>
    <w:rsid w:val="004241F6"/>
    <w:rsid w:val="0043005F"/>
    <w:rsid w:val="00434497"/>
    <w:rsid w:val="0044363F"/>
    <w:rsid w:val="00445105"/>
    <w:rsid w:val="004529FC"/>
    <w:rsid w:val="004548F1"/>
    <w:rsid w:val="00456683"/>
    <w:rsid w:val="004651BE"/>
    <w:rsid w:val="0047186A"/>
    <w:rsid w:val="00475E45"/>
    <w:rsid w:val="00476F59"/>
    <w:rsid w:val="004842B9"/>
    <w:rsid w:val="004847E5"/>
    <w:rsid w:val="0049324C"/>
    <w:rsid w:val="004979AF"/>
    <w:rsid w:val="00497B37"/>
    <w:rsid w:val="004A04AB"/>
    <w:rsid w:val="004A5AAE"/>
    <w:rsid w:val="004C2D1D"/>
    <w:rsid w:val="004D1C16"/>
    <w:rsid w:val="004D2A32"/>
    <w:rsid w:val="004D33BF"/>
    <w:rsid w:val="004D415A"/>
    <w:rsid w:val="004D4BE4"/>
    <w:rsid w:val="004E0DAC"/>
    <w:rsid w:val="004E1CC2"/>
    <w:rsid w:val="004E2A04"/>
    <w:rsid w:val="004F4209"/>
    <w:rsid w:val="00500FDD"/>
    <w:rsid w:val="00506097"/>
    <w:rsid w:val="005115C4"/>
    <w:rsid w:val="005241A9"/>
    <w:rsid w:val="00527066"/>
    <w:rsid w:val="00530270"/>
    <w:rsid w:val="0053113C"/>
    <w:rsid w:val="00532C7E"/>
    <w:rsid w:val="00532CF3"/>
    <w:rsid w:val="00537AFD"/>
    <w:rsid w:val="005420A8"/>
    <w:rsid w:val="00544149"/>
    <w:rsid w:val="005448F7"/>
    <w:rsid w:val="005501A9"/>
    <w:rsid w:val="005515A2"/>
    <w:rsid w:val="00551C52"/>
    <w:rsid w:val="00552AFB"/>
    <w:rsid w:val="005556A2"/>
    <w:rsid w:val="00556A00"/>
    <w:rsid w:val="00557367"/>
    <w:rsid w:val="0056292B"/>
    <w:rsid w:val="00576109"/>
    <w:rsid w:val="00577A82"/>
    <w:rsid w:val="0058498C"/>
    <w:rsid w:val="0058504B"/>
    <w:rsid w:val="00590F9C"/>
    <w:rsid w:val="00591CEE"/>
    <w:rsid w:val="005B0EA6"/>
    <w:rsid w:val="005B2388"/>
    <w:rsid w:val="005C1B0C"/>
    <w:rsid w:val="005C1D13"/>
    <w:rsid w:val="005C33B7"/>
    <w:rsid w:val="005C4BF9"/>
    <w:rsid w:val="005D0413"/>
    <w:rsid w:val="005D2EE9"/>
    <w:rsid w:val="005D4C62"/>
    <w:rsid w:val="005D6FC4"/>
    <w:rsid w:val="005D72CC"/>
    <w:rsid w:val="005E44B6"/>
    <w:rsid w:val="005F07EB"/>
    <w:rsid w:val="005F7447"/>
    <w:rsid w:val="0060563F"/>
    <w:rsid w:val="00614C19"/>
    <w:rsid w:val="00633154"/>
    <w:rsid w:val="00633672"/>
    <w:rsid w:val="00633E03"/>
    <w:rsid w:val="00644031"/>
    <w:rsid w:val="00646A52"/>
    <w:rsid w:val="00655D34"/>
    <w:rsid w:val="00655E15"/>
    <w:rsid w:val="0066535D"/>
    <w:rsid w:val="00667D45"/>
    <w:rsid w:val="00675FDD"/>
    <w:rsid w:val="006810A0"/>
    <w:rsid w:val="00681D7E"/>
    <w:rsid w:val="006823A0"/>
    <w:rsid w:val="0068260E"/>
    <w:rsid w:val="00682EDE"/>
    <w:rsid w:val="0068687E"/>
    <w:rsid w:val="00686BFC"/>
    <w:rsid w:val="006871A7"/>
    <w:rsid w:val="00687F7E"/>
    <w:rsid w:val="00693EEE"/>
    <w:rsid w:val="00694504"/>
    <w:rsid w:val="006A35EC"/>
    <w:rsid w:val="006A5C1B"/>
    <w:rsid w:val="006B2DBC"/>
    <w:rsid w:val="006B4A5E"/>
    <w:rsid w:val="006B5A60"/>
    <w:rsid w:val="006B7DFA"/>
    <w:rsid w:val="006C1662"/>
    <w:rsid w:val="006C50A0"/>
    <w:rsid w:val="006C6588"/>
    <w:rsid w:val="006C6B39"/>
    <w:rsid w:val="006E3049"/>
    <w:rsid w:val="006E374E"/>
    <w:rsid w:val="006F0C66"/>
    <w:rsid w:val="006F359E"/>
    <w:rsid w:val="006F3CBB"/>
    <w:rsid w:val="00701FC2"/>
    <w:rsid w:val="00706AE9"/>
    <w:rsid w:val="00722794"/>
    <w:rsid w:val="00726CF4"/>
    <w:rsid w:val="007271F4"/>
    <w:rsid w:val="00735FB7"/>
    <w:rsid w:val="007415A2"/>
    <w:rsid w:val="00742F9A"/>
    <w:rsid w:val="0074728C"/>
    <w:rsid w:val="0075549C"/>
    <w:rsid w:val="00757DAB"/>
    <w:rsid w:val="007606AC"/>
    <w:rsid w:val="0076116F"/>
    <w:rsid w:val="00781E56"/>
    <w:rsid w:val="00790A6E"/>
    <w:rsid w:val="00793C85"/>
    <w:rsid w:val="0079658A"/>
    <w:rsid w:val="007A45A0"/>
    <w:rsid w:val="007B1C6B"/>
    <w:rsid w:val="007B3173"/>
    <w:rsid w:val="007B3534"/>
    <w:rsid w:val="007B4C53"/>
    <w:rsid w:val="007B6BB3"/>
    <w:rsid w:val="007C089B"/>
    <w:rsid w:val="007C4C59"/>
    <w:rsid w:val="007C795B"/>
    <w:rsid w:val="007D07C4"/>
    <w:rsid w:val="007D51D0"/>
    <w:rsid w:val="007E1921"/>
    <w:rsid w:val="007E319D"/>
    <w:rsid w:val="007F0041"/>
    <w:rsid w:val="007F66D9"/>
    <w:rsid w:val="007F6C93"/>
    <w:rsid w:val="007F7A59"/>
    <w:rsid w:val="00807397"/>
    <w:rsid w:val="00815B23"/>
    <w:rsid w:val="00817C0C"/>
    <w:rsid w:val="00824CB0"/>
    <w:rsid w:val="00832CC3"/>
    <w:rsid w:val="00841D9E"/>
    <w:rsid w:val="00843D8F"/>
    <w:rsid w:val="0084458F"/>
    <w:rsid w:val="008542CD"/>
    <w:rsid w:val="00856C77"/>
    <w:rsid w:val="0086041D"/>
    <w:rsid w:val="0087586A"/>
    <w:rsid w:val="008766CF"/>
    <w:rsid w:val="00877A45"/>
    <w:rsid w:val="008803FB"/>
    <w:rsid w:val="008947B8"/>
    <w:rsid w:val="008A016C"/>
    <w:rsid w:val="008A0367"/>
    <w:rsid w:val="008A7317"/>
    <w:rsid w:val="008B39D9"/>
    <w:rsid w:val="008B7F12"/>
    <w:rsid w:val="008C29E6"/>
    <w:rsid w:val="008C479E"/>
    <w:rsid w:val="008C4D40"/>
    <w:rsid w:val="008D6962"/>
    <w:rsid w:val="008F34D6"/>
    <w:rsid w:val="008F3B5A"/>
    <w:rsid w:val="00910F3B"/>
    <w:rsid w:val="009113E3"/>
    <w:rsid w:val="00913AC2"/>
    <w:rsid w:val="00916D37"/>
    <w:rsid w:val="00917173"/>
    <w:rsid w:val="009177F5"/>
    <w:rsid w:val="00920F3A"/>
    <w:rsid w:val="00924F05"/>
    <w:rsid w:val="00933418"/>
    <w:rsid w:val="00934BD4"/>
    <w:rsid w:val="0093666D"/>
    <w:rsid w:val="009517CE"/>
    <w:rsid w:val="00951825"/>
    <w:rsid w:val="00953728"/>
    <w:rsid w:val="00953C5A"/>
    <w:rsid w:val="00963FB9"/>
    <w:rsid w:val="0097559D"/>
    <w:rsid w:val="00983F08"/>
    <w:rsid w:val="009876E4"/>
    <w:rsid w:val="009947D9"/>
    <w:rsid w:val="009A1E26"/>
    <w:rsid w:val="009B26E4"/>
    <w:rsid w:val="009B2C9B"/>
    <w:rsid w:val="009C3BD1"/>
    <w:rsid w:val="009D1198"/>
    <w:rsid w:val="009D5454"/>
    <w:rsid w:val="009E10B3"/>
    <w:rsid w:val="009E6D6C"/>
    <w:rsid w:val="009E6F83"/>
    <w:rsid w:val="009F3A9D"/>
    <w:rsid w:val="009F4507"/>
    <w:rsid w:val="009F5385"/>
    <w:rsid w:val="00A03578"/>
    <w:rsid w:val="00A05433"/>
    <w:rsid w:val="00A132E2"/>
    <w:rsid w:val="00A15EFF"/>
    <w:rsid w:val="00A22135"/>
    <w:rsid w:val="00A25135"/>
    <w:rsid w:val="00A26F7F"/>
    <w:rsid w:val="00A271A0"/>
    <w:rsid w:val="00A5086B"/>
    <w:rsid w:val="00A5492B"/>
    <w:rsid w:val="00A60B6E"/>
    <w:rsid w:val="00A625BF"/>
    <w:rsid w:val="00A63277"/>
    <w:rsid w:val="00A633B9"/>
    <w:rsid w:val="00A64429"/>
    <w:rsid w:val="00A64584"/>
    <w:rsid w:val="00A651CB"/>
    <w:rsid w:val="00A67769"/>
    <w:rsid w:val="00A7361C"/>
    <w:rsid w:val="00A73A7D"/>
    <w:rsid w:val="00A85737"/>
    <w:rsid w:val="00A877BD"/>
    <w:rsid w:val="00A87E54"/>
    <w:rsid w:val="00A902C1"/>
    <w:rsid w:val="00AB0DF3"/>
    <w:rsid w:val="00AB1AE5"/>
    <w:rsid w:val="00AB301F"/>
    <w:rsid w:val="00AB7A80"/>
    <w:rsid w:val="00AD2FD5"/>
    <w:rsid w:val="00AD3D71"/>
    <w:rsid w:val="00AD43CC"/>
    <w:rsid w:val="00AE0D06"/>
    <w:rsid w:val="00AF0F2D"/>
    <w:rsid w:val="00AF2EAF"/>
    <w:rsid w:val="00B03DC9"/>
    <w:rsid w:val="00B04301"/>
    <w:rsid w:val="00B04364"/>
    <w:rsid w:val="00B078D2"/>
    <w:rsid w:val="00B26E30"/>
    <w:rsid w:val="00B34D73"/>
    <w:rsid w:val="00B354E6"/>
    <w:rsid w:val="00B44B26"/>
    <w:rsid w:val="00B45ED1"/>
    <w:rsid w:val="00B50F15"/>
    <w:rsid w:val="00B51703"/>
    <w:rsid w:val="00B54FFF"/>
    <w:rsid w:val="00B65025"/>
    <w:rsid w:val="00B663B1"/>
    <w:rsid w:val="00B671BF"/>
    <w:rsid w:val="00B80DEA"/>
    <w:rsid w:val="00B841AB"/>
    <w:rsid w:val="00B9170A"/>
    <w:rsid w:val="00B91B45"/>
    <w:rsid w:val="00B96917"/>
    <w:rsid w:val="00B97614"/>
    <w:rsid w:val="00BA2309"/>
    <w:rsid w:val="00BA3D48"/>
    <w:rsid w:val="00BA55B7"/>
    <w:rsid w:val="00BB3D25"/>
    <w:rsid w:val="00BB72F0"/>
    <w:rsid w:val="00BB7B19"/>
    <w:rsid w:val="00BB7D22"/>
    <w:rsid w:val="00BC089D"/>
    <w:rsid w:val="00BC361C"/>
    <w:rsid w:val="00BC4E53"/>
    <w:rsid w:val="00BD00EA"/>
    <w:rsid w:val="00BD5A35"/>
    <w:rsid w:val="00BD5C8F"/>
    <w:rsid w:val="00BE1BA6"/>
    <w:rsid w:val="00BE20DD"/>
    <w:rsid w:val="00BE5E84"/>
    <w:rsid w:val="00BF0C6E"/>
    <w:rsid w:val="00BF69F3"/>
    <w:rsid w:val="00C030D8"/>
    <w:rsid w:val="00C049F6"/>
    <w:rsid w:val="00C11B9A"/>
    <w:rsid w:val="00C133B5"/>
    <w:rsid w:val="00C14966"/>
    <w:rsid w:val="00C21DBC"/>
    <w:rsid w:val="00C22E14"/>
    <w:rsid w:val="00C26448"/>
    <w:rsid w:val="00C30F2D"/>
    <w:rsid w:val="00C354F7"/>
    <w:rsid w:val="00C40568"/>
    <w:rsid w:val="00C42F34"/>
    <w:rsid w:val="00C56D6C"/>
    <w:rsid w:val="00C57A67"/>
    <w:rsid w:val="00C614EA"/>
    <w:rsid w:val="00C62C17"/>
    <w:rsid w:val="00C64FC5"/>
    <w:rsid w:val="00C679DA"/>
    <w:rsid w:val="00C7220A"/>
    <w:rsid w:val="00C77541"/>
    <w:rsid w:val="00C81510"/>
    <w:rsid w:val="00C84847"/>
    <w:rsid w:val="00C94748"/>
    <w:rsid w:val="00C975AA"/>
    <w:rsid w:val="00CA1937"/>
    <w:rsid w:val="00CB2CD6"/>
    <w:rsid w:val="00CC2660"/>
    <w:rsid w:val="00CC2A43"/>
    <w:rsid w:val="00CC36C2"/>
    <w:rsid w:val="00CD525F"/>
    <w:rsid w:val="00CD63D6"/>
    <w:rsid w:val="00CD6509"/>
    <w:rsid w:val="00CE341D"/>
    <w:rsid w:val="00CE7292"/>
    <w:rsid w:val="00CF03B8"/>
    <w:rsid w:val="00CF2784"/>
    <w:rsid w:val="00CF5462"/>
    <w:rsid w:val="00CF6CE6"/>
    <w:rsid w:val="00D06581"/>
    <w:rsid w:val="00D06C9C"/>
    <w:rsid w:val="00D10C91"/>
    <w:rsid w:val="00D17B23"/>
    <w:rsid w:val="00D22047"/>
    <w:rsid w:val="00D33863"/>
    <w:rsid w:val="00D34073"/>
    <w:rsid w:val="00D3537B"/>
    <w:rsid w:val="00D42014"/>
    <w:rsid w:val="00D42B72"/>
    <w:rsid w:val="00D57B36"/>
    <w:rsid w:val="00D7198C"/>
    <w:rsid w:val="00D72227"/>
    <w:rsid w:val="00D82E99"/>
    <w:rsid w:val="00D90302"/>
    <w:rsid w:val="00D97047"/>
    <w:rsid w:val="00DA371D"/>
    <w:rsid w:val="00DA5FE2"/>
    <w:rsid w:val="00DA69B9"/>
    <w:rsid w:val="00DB009A"/>
    <w:rsid w:val="00DB20A5"/>
    <w:rsid w:val="00DB63E7"/>
    <w:rsid w:val="00DB7E70"/>
    <w:rsid w:val="00DC25B7"/>
    <w:rsid w:val="00DC7A7E"/>
    <w:rsid w:val="00DD2BC9"/>
    <w:rsid w:val="00DD41C6"/>
    <w:rsid w:val="00DD55E4"/>
    <w:rsid w:val="00DD6814"/>
    <w:rsid w:val="00DD76C9"/>
    <w:rsid w:val="00DE0030"/>
    <w:rsid w:val="00DE184B"/>
    <w:rsid w:val="00DE6021"/>
    <w:rsid w:val="00DF27A7"/>
    <w:rsid w:val="00E05B59"/>
    <w:rsid w:val="00E101F1"/>
    <w:rsid w:val="00E14EC8"/>
    <w:rsid w:val="00E169B7"/>
    <w:rsid w:val="00E23183"/>
    <w:rsid w:val="00E263A1"/>
    <w:rsid w:val="00E27EA1"/>
    <w:rsid w:val="00E33260"/>
    <w:rsid w:val="00E35929"/>
    <w:rsid w:val="00E366B6"/>
    <w:rsid w:val="00E36B79"/>
    <w:rsid w:val="00E53D05"/>
    <w:rsid w:val="00E624AA"/>
    <w:rsid w:val="00E62823"/>
    <w:rsid w:val="00E65EC2"/>
    <w:rsid w:val="00E67805"/>
    <w:rsid w:val="00E768F6"/>
    <w:rsid w:val="00E94C68"/>
    <w:rsid w:val="00EA23AC"/>
    <w:rsid w:val="00EB022B"/>
    <w:rsid w:val="00EB10E1"/>
    <w:rsid w:val="00EB5D65"/>
    <w:rsid w:val="00EB7ACD"/>
    <w:rsid w:val="00EC0600"/>
    <w:rsid w:val="00EE0ADA"/>
    <w:rsid w:val="00EE130A"/>
    <w:rsid w:val="00EE3A06"/>
    <w:rsid w:val="00EE489A"/>
    <w:rsid w:val="00EE6AE0"/>
    <w:rsid w:val="00F028E3"/>
    <w:rsid w:val="00F0337E"/>
    <w:rsid w:val="00F05AE7"/>
    <w:rsid w:val="00F10880"/>
    <w:rsid w:val="00F17576"/>
    <w:rsid w:val="00F3589A"/>
    <w:rsid w:val="00F44F70"/>
    <w:rsid w:val="00F522FD"/>
    <w:rsid w:val="00F5308E"/>
    <w:rsid w:val="00F62596"/>
    <w:rsid w:val="00F71A63"/>
    <w:rsid w:val="00F7510A"/>
    <w:rsid w:val="00F80327"/>
    <w:rsid w:val="00F8075F"/>
    <w:rsid w:val="00F814FC"/>
    <w:rsid w:val="00F83691"/>
    <w:rsid w:val="00F95728"/>
    <w:rsid w:val="00F965E1"/>
    <w:rsid w:val="00FB373F"/>
    <w:rsid w:val="00FB479D"/>
    <w:rsid w:val="00FB7F93"/>
    <w:rsid w:val="00FD084F"/>
    <w:rsid w:val="00FD6A44"/>
    <w:rsid w:val="00FD70EE"/>
    <w:rsid w:val="00FD7C71"/>
    <w:rsid w:val="00FF1FCF"/>
    <w:rsid w:val="00FF3F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5519171">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hacienda.gobierno.pr/documentos/planilla-de-contribucion-sobre-caudal-relicto-e-instruccione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hacienda.pr.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cienda.gobierno.pr/documentos/planilla-de-contribucion-sobre-caudal-relicto-e-instrucciones" TargetMode="External"/><Relationship Id="rId24"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ntTable" Target="fontTable.xml"/><Relationship Id="rId36"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http://www.hacienda.gobierno.pr/documentos/poder-y-declaracion-de-representacion-power-and-declaration-represent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cienda.pr.gov/sites/default/files/codigo_de_rentas_internas_11-19-2014_0.pdf" TargetMode="External"/><Relationship Id="rId22" Type="http://schemas.openxmlformats.org/officeDocument/2006/relationships/header" Target="header1.xml"/><Relationship Id="rId27" Type="http://schemas.openxmlformats.org/officeDocument/2006/relationships/footer" Target="footer3.xml"/><Relationship Id="rId35" Type="http://schemas.microsoft.com/office/2007/relationships/stylesWithEffects" Target="stylesWithEffects.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160</Negociado>
    <Classification xmlns="5f0ae432-0749-408f-8ead-50bf53da4852">10</Classification>
  </documentManagement>
</p:properties>
</file>

<file path=customXml/itemProps1.xml><?xml version="1.0" encoding="utf-8"?>
<ds:datastoreItem xmlns:ds="http://schemas.openxmlformats.org/officeDocument/2006/customXml" ds:itemID="{B7F51EFF-5EBB-4625-B0CC-6089B0BCE564}"/>
</file>

<file path=customXml/itemProps2.xml><?xml version="1.0" encoding="utf-8"?>
<ds:datastoreItem xmlns:ds="http://schemas.openxmlformats.org/officeDocument/2006/customXml" ds:itemID="{3EB93DBB-6B76-42B6-A3CC-283F5E4CEDE7}"/>
</file>

<file path=customXml/itemProps3.xml><?xml version="1.0" encoding="utf-8"?>
<ds:datastoreItem xmlns:ds="http://schemas.openxmlformats.org/officeDocument/2006/customXml" ds:itemID="{178BF677-23B0-4A0D-9CBA-0D2AD52416E6}"/>
</file>

<file path=customXml/itemProps4.xml><?xml version="1.0" encoding="utf-8"?>
<ds:datastoreItem xmlns:ds="http://schemas.openxmlformats.org/officeDocument/2006/customXml" ds:itemID="{AB63C40C-DEE4-493E-973E-5A6BA244C844}"/>
</file>

<file path=docProps/app.xml><?xml version="1.0" encoding="utf-8"?>
<Properties xmlns="http://schemas.openxmlformats.org/officeDocument/2006/extended-properties" xmlns:vt="http://schemas.openxmlformats.org/officeDocument/2006/docPropsVTypes">
  <Template>Normal.dotm</Template>
  <TotalTime>338</TotalTime>
  <Pages>4</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Planilla de Caudal Relicto (Herencia) (Modelo SC 2800 B)</vt:lpstr>
    </vt:vector>
  </TitlesOfParts>
  <Company>Area de Rentas Internas</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de Caudal Relicto Herencia Modelo SC 2800 B</dc:title>
  <dc:subject>Referido</dc:subject>
  <dc:creator>Edgar R Rivera Cruz</dc:creator>
  <cp:keywords>NPP</cp:keywords>
  <cp:lastModifiedBy>erc0119</cp:lastModifiedBy>
  <cp:revision>63</cp:revision>
  <cp:lastPrinted>2015-08-13T16:09:00Z</cp:lastPrinted>
  <dcterms:created xsi:type="dcterms:W3CDTF">2015-01-28T20:53:00Z</dcterms:created>
  <dcterms:modified xsi:type="dcterms:W3CDTF">2015-08-25T19:39:00Z</dcterms:modified>
  <cp:category>Negociado de Recaudaciones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