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434"/>
      </w:tblGrid>
      <w:tr w:rsidR="00951948" w:rsidRPr="00A625BF" w:rsidTr="00317641">
        <w:trPr>
          <w:trHeight w:val="301"/>
        </w:trPr>
        <w:tc>
          <w:tcPr>
            <w:tcW w:w="82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1948" w:rsidRPr="00AC3208" w:rsidRDefault="00951948" w:rsidP="00FF71BA">
            <w:pPr>
              <w:pStyle w:val="NormalWeb"/>
              <w:spacing w:before="120" w:beforeAutospacing="0" w:after="120" w:afterAutospacing="0"/>
              <w:rPr>
                <w:color w:val="000000"/>
                <w:sz w:val="20"/>
                <w:szCs w:val="20"/>
                <w:lang w:val="es-PR"/>
              </w:rPr>
            </w:pPr>
            <w:bookmarkStart w:id="0" w:name="_GoBack"/>
            <w:bookmarkEnd w:id="0"/>
            <w:r>
              <w:rPr>
                <w:noProof/>
              </w:rPr>
              <w:t xml:space="preserve">   </w:t>
            </w:r>
            <w:r>
              <w:rPr>
                <w:noProof/>
              </w:rPr>
              <w:drawing>
                <wp:inline distT="0" distB="0" distL="0" distR="0">
                  <wp:extent cx="247650" cy="285750"/>
                  <wp:effectExtent l="19050" t="0" r="0" b="0"/>
                  <wp:docPr id="3"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7"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34" w:type="dxa"/>
            <w:tcBorders>
              <w:left w:val="single" w:sz="4" w:space="0" w:color="auto"/>
            </w:tcBorders>
            <w:shd w:val="clear" w:color="auto" w:fill="F79646" w:themeFill="accent6"/>
            <w:vAlign w:val="center"/>
          </w:tcPr>
          <w:p w:rsidR="00951948" w:rsidRPr="002608D6" w:rsidRDefault="00951948" w:rsidP="00317641">
            <w:pPr>
              <w:spacing w:after="0" w:line="240" w:lineRule="auto"/>
              <w:ind w:left="-115" w:firstLine="115"/>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ED6173">
              <w:rPr>
                <w:rFonts w:ascii="Times New Roman" w:eastAsiaTheme="minorHAnsi" w:hAnsi="Times New Roman"/>
                <w:b/>
                <w:sz w:val="28"/>
                <w:szCs w:val="28"/>
                <w:lang w:val="es-PR"/>
              </w:rPr>
              <w:t>obre el s</w:t>
            </w:r>
            <w:r w:rsidRPr="002608D6">
              <w:rPr>
                <w:rFonts w:ascii="Times New Roman" w:eastAsiaTheme="minorHAnsi" w:hAnsi="Times New Roman"/>
                <w:b/>
                <w:sz w:val="28"/>
                <w:szCs w:val="28"/>
                <w:lang w:val="es-PR"/>
              </w:rPr>
              <w:t xml:space="preserve">ervicio </w:t>
            </w:r>
          </w:p>
        </w:tc>
      </w:tr>
    </w:tbl>
    <w:p w:rsidR="008D0BBC" w:rsidRPr="00FE5C15" w:rsidRDefault="00F35F39" w:rsidP="00D3463A">
      <w:pPr>
        <w:pStyle w:val="NormalWeb"/>
        <w:numPr>
          <w:ilvl w:val="0"/>
          <w:numId w:val="11"/>
        </w:numPr>
        <w:spacing w:before="120" w:beforeAutospacing="0" w:after="120" w:afterAutospacing="0"/>
        <w:rPr>
          <w:rFonts w:eastAsiaTheme="minorHAnsi"/>
          <w:sz w:val="28"/>
          <w:lang w:val="es-PR"/>
        </w:rPr>
      </w:pPr>
      <w:r w:rsidRPr="00FE5C15">
        <w:rPr>
          <w:lang w:val="es-ES"/>
        </w:rPr>
        <w:t>Ofrece información sobre los requisitos y costos que conlleva el proceso de renovación de cada licencia de Rentas Internas.</w:t>
      </w:r>
      <w:r w:rsidR="00E55DCB">
        <w:rPr>
          <w:lang w:val="es-ES"/>
        </w:rPr>
        <w:t xml:space="preserve"> </w:t>
      </w:r>
    </w:p>
    <w:tbl>
      <w:tblPr>
        <w:tblW w:w="102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02"/>
      </w:tblGrid>
      <w:tr w:rsidR="00951948" w:rsidRPr="000036BA" w:rsidTr="00FF71BA">
        <w:trPr>
          <w:trHeight w:val="626"/>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1948" w:rsidRPr="001B542E" w:rsidRDefault="00951948" w:rsidP="00FF71BA">
            <w:pPr>
              <w:pStyle w:val="NormalWeb"/>
              <w:rPr>
                <w:color w:val="000000"/>
                <w:lang w:val="es-PR"/>
              </w:rPr>
            </w:pPr>
            <w:r>
              <w:rPr>
                <w:noProof/>
                <w:color w:val="000000"/>
              </w:rPr>
              <w:drawing>
                <wp:inline distT="0" distB="0" distL="0" distR="0">
                  <wp:extent cx="352425" cy="228600"/>
                  <wp:effectExtent l="19050" t="0" r="9525" b="0"/>
                  <wp:docPr id="1"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8"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04" w:type="dxa"/>
            <w:tcBorders>
              <w:left w:val="single" w:sz="4" w:space="0" w:color="auto"/>
            </w:tcBorders>
            <w:shd w:val="clear" w:color="auto" w:fill="F79646" w:themeFill="accent6"/>
            <w:vAlign w:val="center"/>
          </w:tcPr>
          <w:p w:rsidR="00951948" w:rsidRPr="001B542E" w:rsidRDefault="00951948" w:rsidP="00FF71BA">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 xml:space="preserve">Clasificación del </w:t>
            </w:r>
            <w:r w:rsidR="00ED6173">
              <w:rPr>
                <w:rFonts w:ascii="Times New Roman" w:eastAsiaTheme="minorHAnsi" w:hAnsi="Times New Roman"/>
                <w:b/>
                <w:sz w:val="28"/>
                <w:szCs w:val="24"/>
                <w:lang w:val="es-PR"/>
              </w:rPr>
              <w:t>c</w:t>
            </w:r>
            <w:r>
              <w:rPr>
                <w:rFonts w:ascii="Times New Roman" w:eastAsiaTheme="minorHAnsi" w:hAnsi="Times New Roman"/>
                <w:b/>
                <w:sz w:val="28"/>
                <w:szCs w:val="24"/>
                <w:lang w:val="es-PR"/>
              </w:rPr>
              <w:t>ontribuyente</w:t>
            </w:r>
          </w:p>
        </w:tc>
      </w:tr>
    </w:tbl>
    <w:p w:rsidR="00951948" w:rsidRPr="0070473B" w:rsidRDefault="00951948" w:rsidP="00951948">
      <w:pPr>
        <w:pStyle w:val="ListParagraph"/>
        <w:numPr>
          <w:ilvl w:val="0"/>
          <w:numId w:val="1"/>
        </w:numPr>
        <w:spacing w:before="120" w:after="120" w:line="240" w:lineRule="auto"/>
        <w:rPr>
          <w:rFonts w:ascii="Times New Roman" w:hAnsi="Times New Roman"/>
          <w:color w:val="000000"/>
          <w:lang w:val="es-PR"/>
        </w:rPr>
      </w:pPr>
      <w:r w:rsidRPr="008B1777">
        <w:rPr>
          <w:rFonts w:ascii="Times New Roman" w:hAnsi="Times New Roman"/>
          <w:color w:val="000000"/>
          <w:sz w:val="24"/>
          <w:lang w:val="es-PR"/>
        </w:rPr>
        <w:t>Individuo</w:t>
      </w:r>
      <w:r>
        <w:rPr>
          <w:rFonts w:ascii="Times New Roman" w:hAnsi="Times New Roman"/>
          <w:color w:val="000000"/>
          <w:sz w:val="24"/>
          <w:lang w:val="es-PR"/>
        </w:rPr>
        <w:t>s</w:t>
      </w:r>
    </w:p>
    <w:p w:rsidR="0070473B" w:rsidRPr="00254585" w:rsidRDefault="0070473B" w:rsidP="00951948">
      <w:pPr>
        <w:pStyle w:val="ListParagraph"/>
        <w:numPr>
          <w:ilvl w:val="0"/>
          <w:numId w:val="1"/>
        </w:numPr>
        <w:spacing w:before="120" w:after="120" w:line="240" w:lineRule="auto"/>
        <w:rPr>
          <w:rFonts w:ascii="Times New Roman" w:hAnsi="Times New Roman"/>
          <w:color w:val="000000"/>
          <w:lang w:val="es-PR"/>
        </w:rPr>
      </w:pPr>
      <w:r>
        <w:rPr>
          <w:rFonts w:ascii="Times New Roman" w:hAnsi="Times New Roman"/>
          <w:color w:val="000000"/>
          <w:sz w:val="24"/>
          <w:lang w:val="es-PR"/>
        </w:rPr>
        <w:t>Comerciantes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12"/>
      </w:tblGrid>
      <w:tr w:rsidR="00951948" w:rsidRPr="00A50AC6" w:rsidTr="00317641">
        <w:trPr>
          <w:trHeight w:val="589"/>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51948" w:rsidRPr="00A625BF" w:rsidRDefault="00951948" w:rsidP="00FF71BA">
            <w:pPr>
              <w:pStyle w:val="NormalWeb"/>
              <w:spacing w:before="120" w:beforeAutospacing="0" w:after="120" w:afterAutospacing="0"/>
              <w:rPr>
                <w:rFonts w:ascii="Verdana" w:hAnsi="Verdana" w:cs="Arial"/>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2" name="Picture 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er"/>
                          <pic:cNvPicPr>
                            <a:picLocks noChangeAspect="1" noChangeArrowheads="1"/>
                          </pic:cNvPicPr>
                        </pic:nvPicPr>
                        <pic:blipFill>
                          <a:blip r:embed="rId9"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12" w:type="dxa"/>
            <w:tcBorders>
              <w:left w:val="single" w:sz="4" w:space="0" w:color="auto"/>
            </w:tcBorders>
            <w:shd w:val="clear" w:color="auto" w:fill="F79646" w:themeFill="accent6"/>
            <w:vAlign w:val="center"/>
          </w:tcPr>
          <w:p w:rsidR="00951948" w:rsidRPr="002608D6" w:rsidRDefault="00951948" w:rsidP="00FF71BA">
            <w:pPr>
              <w:tabs>
                <w:tab w:val="left" w:pos="257"/>
              </w:tabs>
              <w:spacing w:before="120" w:after="12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ED6173">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E55DCB" w:rsidRPr="00E55DCB" w:rsidRDefault="00E55DCB" w:rsidP="00D3463A">
      <w:pPr>
        <w:pStyle w:val="NormalWeb"/>
        <w:numPr>
          <w:ilvl w:val="0"/>
          <w:numId w:val="2"/>
        </w:numPr>
        <w:spacing w:before="120" w:beforeAutospacing="0"/>
        <w:rPr>
          <w:szCs w:val="20"/>
          <w:lang w:val="es-ES"/>
        </w:rPr>
      </w:pPr>
      <w:r w:rsidRPr="00E55DCB">
        <w:rPr>
          <w:szCs w:val="20"/>
          <w:lang w:val="es-ES"/>
        </w:rPr>
        <w:t>Para renovar una licencia de rentas internas se requerirá copia actualizada de la Patente Municipal, Verificación de Negativa de Deudas de Bienes Muebles del CRIM y Certificación Negativa de Impuestos sobre el Canon por Ocupación de Habitación (si aplica).</w:t>
      </w:r>
    </w:p>
    <w:p w:rsidR="00E55DCB" w:rsidRPr="00E55DCB" w:rsidRDefault="00E55DCB" w:rsidP="00E55DCB">
      <w:pPr>
        <w:pStyle w:val="ListParagraph"/>
        <w:numPr>
          <w:ilvl w:val="0"/>
          <w:numId w:val="2"/>
        </w:numPr>
        <w:spacing w:before="100" w:beforeAutospacing="1" w:after="100" w:afterAutospacing="1" w:line="285" w:lineRule="atLeast"/>
        <w:rPr>
          <w:rFonts w:ascii="Times New Roman" w:eastAsia="Times New Roman" w:hAnsi="Times New Roman"/>
          <w:sz w:val="24"/>
          <w:szCs w:val="20"/>
          <w:lang w:val="es-ES"/>
        </w:rPr>
      </w:pPr>
      <w:r w:rsidRPr="00E55DCB">
        <w:rPr>
          <w:rFonts w:ascii="Times New Roman" w:eastAsia="Times New Roman" w:hAnsi="Times New Roman"/>
          <w:sz w:val="24"/>
          <w:szCs w:val="20"/>
          <w:lang w:val="es-ES"/>
        </w:rPr>
        <w:t>De igual forma, deberá estar al día en la radicación de planillas  y estar al día con las deudas del Departamento de Hacienda y ASUME. En el caso de corporaciones o sociedades, estos requisitos deberán ser satisfechos tanto por la corporación o sociedad, como por el presidente, socio gestor o su equivalente.  En aquellos casos en que el presidente, socio gestor o su equivalente no resida en Puerto Rico, la información requerida será satisfecha por el representante a cargo del negocio en Puerto Rico.</w:t>
      </w:r>
    </w:p>
    <w:p w:rsidR="00E55DCB" w:rsidRPr="00E55DCB" w:rsidRDefault="00E55DCB" w:rsidP="00E55DCB">
      <w:pPr>
        <w:pStyle w:val="ListParagraph"/>
        <w:numPr>
          <w:ilvl w:val="0"/>
          <w:numId w:val="2"/>
        </w:numPr>
        <w:spacing w:before="100" w:beforeAutospacing="1" w:after="100" w:afterAutospacing="1" w:line="285" w:lineRule="atLeast"/>
        <w:rPr>
          <w:rFonts w:ascii="Times New Roman" w:eastAsia="Times New Roman" w:hAnsi="Times New Roman"/>
          <w:sz w:val="24"/>
          <w:szCs w:val="20"/>
          <w:lang w:val="es-ES"/>
        </w:rPr>
      </w:pPr>
      <w:r w:rsidRPr="00E55DCB">
        <w:rPr>
          <w:rFonts w:ascii="Times New Roman" w:eastAsia="Times New Roman" w:hAnsi="Times New Roman"/>
          <w:sz w:val="24"/>
          <w:szCs w:val="20"/>
          <w:lang w:val="es-ES"/>
        </w:rPr>
        <w:t>Los requisitos antes mencionados no tendrán que someterse con la renovación de la licencia. Sin embargo, si al verificar en nuestro sistema resulta que no está en cumplimiento con los mismos, la renovación será denegada.</w:t>
      </w:r>
    </w:p>
    <w:p w:rsidR="00FE5C15" w:rsidRPr="00210061" w:rsidRDefault="00317641" w:rsidP="00D3463A">
      <w:pPr>
        <w:pStyle w:val="ListParagraph"/>
        <w:numPr>
          <w:ilvl w:val="0"/>
          <w:numId w:val="2"/>
        </w:numPr>
        <w:spacing w:before="120" w:after="120" w:line="240" w:lineRule="auto"/>
        <w:rPr>
          <w:rFonts w:ascii="Times New Roman" w:eastAsia="Times New Roman" w:hAnsi="Times New Roman"/>
          <w:sz w:val="24"/>
          <w:szCs w:val="24"/>
          <w:lang w:val="es-ES"/>
        </w:rPr>
      </w:pPr>
      <w:r w:rsidRPr="00317641">
        <w:rPr>
          <w:rFonts w:ascii="Times New Roman" w:eastAsiaTheme="minorHAnsi" w:hAnsi="Times New Roman"/>
          <w:sz w:val="24"/>
          <w:szCs w:val="24"/>
          <w:lang w:val="es-PR"/>
        </w:rPr>
        <w:t>Los contribuyentes renovarán sus licencias de rentas internas durante el mes aplicable, según corresponda de acuerdo con</w:t>
      </w:r>
      <w:r w:rsidRPr="00317641">
        <w:rPr>
          <w:rFonts w:ascii="TimesNewRomanPSMT" w:eastAsiaTheme="minorHAnsi" w:hAnsi="TimesNewRomanPSMT" w:cs="TimesNewRomanPSMT"/>
          <w:sz w:val="24"/>
          <w:szCs w:val="24"/>
          <w:lang w:val="es-PR"/>
        </w:rPr>
        <w:t xml:space="preserve"> el último dígito del número de seguro social o número de cuenta patronal</w:t>
      </w:r>
      <w:r w:rsidR="00FE5C15">
        <w:rPr>
          <w:rFonts w:ascii="Times New Roman" w:eastAsia="Times New Roman" w:hAnsi="Times New Roman"/>
          <w:sz w:val="24"/>
          <w:szCs w:val="24"/>
          <w:lang w:val="es-ES"/>
        </w:rPr>
        <w:t xml:space="preserve"> establecidos en la siguiente tabla:</w:t>
      </w:r>
    </w:p>
    <w:tbl>
      <w:tblPr>
        <w:tblStyle w:val="MediumGrid1-Accent5"/>
        <w:tblW w:w="0" w:type="auto"/>
        <w:tblInd w:w="108" w:type="dxa"/>
        <w:tblLook w:val="04A0" w:firstRow="1" w:lastRow="0" w:firstColumn="1" w:lastColumn="0" w:noHBand="0" w:noVBand="1"/>
      </w:tblPr>
      <w:tblGrid>
        <w:gridCol w:w="4680"/>
        <w:gridCol w:w="4788"/>
      </w:tblGrid>
      <w:tr w:rsidR="00FE5C15" w:rsidRPr="00D3463A" w:rsidTr="00D3463A">
        <w:trPr>
          <w:cnfStyle w:val="100000000000" w:firstRow="1" w:lastRow="0" w:firstColumn="0" w:lastColumn="0" w:oddVBand="0" w:evenVBand="0" w:oddHBand="0"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4680" w:type="dxa"/>
            <w:shd w:val="clear" w:color="auto" w:fill="548DD4" w:themeFill="text2" w:themeFillTint="99"/>
          </w:tcPr>
          <w:p w:rsidR="00FE5C15" w:rsidRPr="00210061" w:rsidRDefault="00210061" w:rsidP="00D3463A">
            <w:pPr>
              <w:autoSpaceDE w:val="0"/>
              <w:autoSpaceDN w:val="0"/>
              <w:adjustRightInd w:val="0"/>
              <w:spacing w:before="120" w:after="120"/>
              <w:jc w:val="center"/>
              <w:rPr>
                <w:rFonts w:ascii="TimesNewRomanPSMT" w:eastAsiaTheme="minorHAnsi" w:hAnsi="TimesNewRomanPSMT" w:cs="TimesNewRomanPSMT"/>
                <w:i/>
                <w:sz w:val="28"/>
                <w:szCs w:val="24"/>
                <w:lang w:val="es-PR"/>
              </w:rPr>
            </w:pPr>
            <w:r w:rsidRPr="00210061">
              <w:rPr>
                <w:rFonts w:ascii="TimesNewRomanPSMT" w:eastAsiaTheme="minorHAnsi" w:hAnsi="TimesNewRomanPSMT" w:cs="TimesNewRomanPSMT"/>
                <w:i/>
                <w:sz w:val="28"/>
                <w:szCs w:val="24"/>
                <w:lang w:val="es-PR"/>
              </w:rPr>
              <w:t>Último Dígito del Número de S</w:t>
            </w:r>
            <w:r w:rsidR="00FE5C15" w:rsidRPr="00210061">
              <w:rPr>
                <w:rFonts w:ascii="TimesNewRomanPSMT" w:eastAsiaTheme="minorHAnsi" w:hAnsi="TimesNewRomanPSMT" w:cs="TimesNewRomanPSMT"/>
                <w:i/>
                <w:sz w:val="28"/>
                <w:szCs w:val="24"/>
                <w:lang w:val="es-PR"/>
              </w:rPr>
              <w:t xml:space="preserve">eguro </w:t>
            </w:r>
            <w:r w:rsidRPr="00210061">
              <w:rPr>
                <w:rFonts w:ascii="TimesNewRomanPSMT" w:eastAsiaTheme="minorHAnsi" w:hAnsi="TimesNewRomanPSMT" w:cs="TimesNewRomanPSMT"/>
                <w:i/>
                <w:sz w:val="28"/>
                <w:szCs w:val="24"/>
                <w:lang w:val="es-PR"/>
              </w:rPr>
              <w:t>Social o Número de Cuenta P</w:t>
            </w:r>
            <w:r w:rsidR="00FE5C15" w:rsidRPr="00210061">
              <w:rPr>
                <w:rFonts w:ascii="TimesNewRomanPSMT" w:eastAsiaTheme="minorHAnsi" w:hAnsi="TimesNewRomanPSMT" w:cs="TimesNewRomanPSMT"/>
                <w:i/>
                <w:sz w:val="28"/>
                <w:szCs w:val="24"/>
                <w:lang w:val="es-PR"/>
              </w:rPr>
              <w:t>atronal</w:t>
            </w:r>
          </w:p>
          <w:p w:rsidR="00FE5C15" w:rsidRDefault="00FE5C15" w:rsidP="00FE5C15">
            <w:pPr>
              <w:spacing w:before="120" w:after="100" w:afterAutospacing="1"/>
              <w:rPr>
                <w:rFonts w:ascii="Times New Roman" w:eastAsia="Times New Roman" w:hAnsi="Times New Roman"/>
                <w:sz w:val="24"/>
                <w:szCs w:val="24"/>
                <w:lang w:val="es-ES"/>
              </w:rPr>
            </w:pPr>
          </w:p>
        </w:tc>
        <w:tc>
          <w:tcPr>
            <w:tcW w:w="4788" w:type="dxa"/>
            <w:shd w:val="clear" w:color="auto" w:fill="548DD4" w:themeFill="text2" w:themeFillTint="99"/>
          </w:tcPr>
          <w:p w:rsidR="00FE5C15" w:rsidRPr="00A9525D" w:rsidRDefault="00210061" w:rsidP="00D3463A">
            <w:pPr>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NewRomanPSMT" w:eastAsiaTheme="minorHAnsi" w:hAnsi="TimesNewRomanPSMT" w:cs="TimesNewRomanPSMT"/>
                <w:i/>
                <w:sz w:val="28"/>
                <w:szCs w:val="24"/>
                <w:lang w:val="es-PR"/>
              </w:rPr>
            </w:pPr>
            <w:r w:rsidRPr="00A9525D">
              <w:rPr>
                <w:rFonts w:ascii="TimesNewRomanPSMT" w:eastAsiaTheme="minorHAnsi" w:hAnsi="TimesNewRomanPSMT" w:cs="TimesNewRomanPSMT"/>
                <w:i/>
                <w:sz w:val="28"/>
                <w:szCs w:val="24"/>
                <w:lang w:val="es-PR"/>
              </w:rPr>
              <w:t>Mes en que Vence el P</w:t>
            </w:r>
            <w:r w:rsidR="00FE5C15" w:rsidRPr="00A9525D">
              <w:rPr>
                <w:rFonts w:ascii="TimesNewRomanPSMT" w:eastAsiaTheme="minorHAnsi" w:hAnsi="TimesNewRomanPSMT" w:cs="TimesNewRomanPSMT"/>
                <w:i/>
                <w:sz w:val="28"/>
                <w:szCs w:val="24"/>
                <w:lang w:val="es-PR"/>
              </w:rPr>
              <w:t>ago de los</w:t>
            </w:r>
          </w:p>
          <w:p w:rsidR="00FE5C15" w:rsidRPr="00A9525D" w:rsidRDefault="00210061" w:rsidP="00D3463A">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imesNewRomanPSMT" w:eastAsiaTheme="minorHAnsi" w:hAnsi="TimesNewRomanPSMT" w:cs="TimesNewRomanPSMT"/>
                <w:i/>
                <w:sz w:val="28"/>
                <w:szCs w:val="24"/>
                <w:lang w:val="es-PR"/>
              </w:rPr>
            </w:pPr>
            <w:r w:rsidRPr="00A9525D">
              <w:rPr>
                <w:rFonts w:ascii="TimesNewRomanPSMT" w:eastAsiaTheme="minorHAnsi" w:hAnsi="TimesNewRomanPSMT" w:cs="TimesNewRomanPSMT"/>
                <w:i/>
                <w:sz w:val="28"/>
                <w:szCs w:val="24"/>
                <w:lang w:val="es-PR"/>
              </w:rPr>
              <w:t>Derechos de L</w:t>
            </w:r>
            <w:r w:rsidR="00FE5C15" w:rsidRPr="00A9525D">
              <w:rPr>
                <w:rFonts w:ascii="TimesNewRomanPSMT" w:eastAsiaTheme="minorHAnsi" w:hAnsi="TimesNewRomanPSMT" w:cs="TimesNewRomanPSMT"/>
                <w:i/>
                <w:sz w:val="28"/>
                <w:szCs w:val="24"/>
                <w:lang w:val="es-PR"/>
              </w:rPr>
              <w:t>icenci</w:t>
            </w:r>
            <w:r w:rsidR="00A9525D">
              <w:rPr>
                <w:rFonts w:ascii="TimesNewRomanPSMT" w:eastAsiaTheme="minorHAnsi" w:hAnsi="TimesNewRomanPSMT" w:cs="TimesNewRomanPSMT"/>
                <w:i/>
                <w:sz w:val="28"/>
                <w:szCs w:val="24"/>
                <w:lang w:val="es-PR"/>
              </w:rPr>
              <w:t>a</w:t>
            </w:r>
          </w:p>
        </w:tc>
      </w:tr>
      <w:tr w:rsidR="00FE5C15" w:rsidTr="00210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FE5C15"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1</w:t>
            </w:r>
          </w:p>
        </w:tc>
        <w:tc>
          <w:tcPr>
            <w:tcW w:w="4788" w:type="dxa"/>
          </w:tcPr>
          <w:p w:rsidR="00FE5C15" w:rsidRDefault="00210061" w:rsidP="00210061">
            <w:pPr>
              <w:spacing w:before="120"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Enero</w:t>
            </w:r>
          </w:p>
        </w:tc>
      </w:tr>
      <w:tr w:rsidR="00FE5C15" w:rsidTr="00210061">
        <w:tc>
          <w:tcPr>
            <w:cnfStyle w:val="001000000000" w:firstRow="0" w:lastRow="0" w:firstColumn="1" w:lastColumn="0" w:oddVBand="0" w:evenVBand="0" w:oddHBand="0" w:evenHBand="0" w:firstRowFirstColumn="0" w:firstRowLastColumn="0" w:lastRowFirstColumn="0" w:lastRowLastColumn="0"/>
            <w:tcW w:w="4680" w:type="dxa"/>
          </w:tcPr>
          <w:p w:rsidR="00FE5C15"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2</w:t>
            </w:r>
          </w:p>
        </w:tc>
        <w:tc>
          <w:tcPr>
            <w:tcW w:w="4788" w:type="dxa"/>
          </w:tcPr>
          <w:p w:rsidR="00FE5C15" w:rsidRDefault="00210061" w:rsidP="00210061">
            <w:pPr>
              <w:spacing w:before="120"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Febrero</w:t>
            </w:r>
          </w:p>
        </w:tc>
      </w:tr>
      <w:tr w:rsidR="00FE5C15" w:rsidTr="00210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FE5C15"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3</w:t>
            </w:r>
          </w:p>
        </w:tc>
        <w:tc>
          <w:tcPr>
            <w:tcW w:w="4788" w:type="dxa"/>
          </w:tcPr>
          <w:p w:rsidR="00FE5C15" w:rsidRDefault="00210061" w:rsidP="00210061">
            <w:pPr>
              <w:spacing w:before="120"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Marzo</w:t>
            </w:r>
          </w:p>
        </w:tc>
      </w:tr>
      <w:tr w:rsidR="00FE5C15" w:rsidTr="00210061">
        <w:tc>
          <w:tcPr>
            <w:cnfStyle w:val="001000000000" w:firstRow="0" w:lastRow="0" w:firstColumn="1" w:lastColumn="0" w:oddVBand="0" w:evenVBand="0" w:oddHBand="0" w:evenHBand="0" w:firstRowFirstColumn="0" w:firstRowLastColumn="0" w:lastRowFirstColumn="0" w:lastRowLastColumn="0"/>
            <w:tcW w:w="4680" w:type="dxa"/>
          </w:tcPr>
          <w:p w:rsidR="00FE5C15"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4</w:t>
            </w:r>
          </w:p>
        </w:tc>
        <w:tc>
          <w:tcPr>
            <w:tcW w:w="4788" w:type="dxa"/>
          </w:tcPr>
          <w:p w:rsidR="00210061" w:rsidRDefault="00210061" w:rsidP="00210061">
            <w:pPr>
              <w:spacing w:before="120"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Abril</w:t>
            </w:r>
          </w:p>
        </w:tc>
      </w:tr>
      <w:tr w:rsidR="00FE5C15" w:rsidTr="00210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FE5C15"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5</w:t>
            </w:r>
          </w:p>
        </w:tc>
        <w:tc>
          <w:tcPr>
            <w:tcW w:w="4788" w:type="dxa"/>
          </w:tcPr>
          <w:p w:rsidR="00FE5C15" w:rsidRDefault="00210061" w:rsidP="00210061">
            <w:pPr>
              <w:spacing w:before="120"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Mayo</w:t>
            </w:r>
          </w:p>
        </w:tc>
      </w:tr>
      <w:tr w:rsidR="00FE5C15" w:rsidTr="00210061">
        <w:tc>
          <w:tcPr>
            <w:cnfStyle w:val="001000000000" w:firstRow="0" w:lastRow="0" w:firstColumn="1" w:lastColumn="0" w:oddVBand="0" w:evenVBand="0" w:oddHBand="0" w:evenHBand="0" w:firstRowFirstColumn="0" w:firstRowLastColumn="0" w:lastRowFirstColumn="0" w:lastRowLastColumn="0"/>
            <w:tcW w:w="4680" w:type="dxa"/>
          </w:tcPr>
          <w:p w:rsidR="00FE5C15"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6</w:t>
            </w:r>
          </w:p>
        </w:tc>
        <w:tc>
          <w:tcPr>
            <w:tcW w:w="4788" w:type="dxa"/>
          </w:tcPr>
          <w:p w:rsidR="00FE5C15" w:rsidRDefault="00210061" w:rsidP="00210061">
            <w:pPr>
              <w:spacing w:before="120"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Junio</w:t>
            </w:r>
          </w:p>
        </w:tc>
      </w:tr>
      <w:tr w:rsidR="00FE5C15" w:rsidTr="00210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FE5C15"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7</w:t>
            </w:r>
          </w:p>
        </w:tc>
        <w:tc>
          <w:tcPr>
            <w:tcW w:w="4788" w:type="dxa"/>
          </w:tcPr>
          <w:p w:rsidR="00FE5C15" w:rsidRDefault="00210061" w:rsidP="00210061">
            <w:pPr>
              <w:spacing w:before="120"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Julio</w:t>
            </w:r>
          </w:p>
        </w:tc>
      </w:tr>
      <w:tr w:rsidR="00210061" w:rsidTr="00210061">
        <w:tc>
          <w:tcPr>
            <w:cnfStyle w:val="001000000000" w:firstRow="0" w:lastRow="0" w:firstColumn="1" w:lastColumn="0" w:oddVBand="0" w:evenVBand="0" w:oddHBand="0" w:evenHBand="0" w:firstRowFirstColumn="0" w:firstRowLastColumn="0" w:lastRowFirstColumn="0" w:lastRowLastColumn="0"/>
            <w:tcW w:w="4680" w:type="dxa"/>
          </w:tcPr>
          <w:p w:rsidR="00210061"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8</w:t>
            </w:r>
          </w:p>
        </w:tc>
        <w:tc>
          <w:tcPr>
            <w:tcW w:w="4788" w:type="dxa"/>
          </w:tcPr>
          <w:p w:rsidR="00210061" w:rsidRDefault="00210061" w:rsidP="00210061">
            <w:pPr>
              <w:spacing w:before="120"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Agosto</w:t>
            </w:r>
          </w:p>
        </w:tc>
      </w:tr>
      <w:tr w:rsidR="00210061" w:rsidTr="00210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210061"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9</w:t>
            </w:r>
          </w:p>
        </w:tc>
        <w:tc>
          <w:tcPr>
            <w:tcW w:w="4788" w:type="dxa"/>
          </w:tcPr>
          <w:p w:rsidR="00210061" w:rsidRDefault="00210061" w:rsidP="00210061">
            <w:pPr>
              <w:spacing w:before="120"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Septiembre</w:t>
            </w:r>
          </w:p>
        </w:tc>
      </w:tr>
      <w:tr w:rsidR="00210061" w:rsidTr="00210061">
        <w:tc>
          <w:tcPr>
            <w:cnfStyle w:val="001000000000" w:firstRow="0" w:lastRow="0" w:firstColumn="1" w:lastColumn="0" w:oddVBand="0" w:evenVBand="0" w:oddHBand="0" w:evenHBand="0" w:firstRowFirstColumn="0" w:firstRowLastColumn="0" w:lastRowFirstColumn="0" w:lastRowLastColumn="0"/>
            <w:tcW w:w="4680" w:type="dxa"/>
          </w:tcPr>
          <w:p w:rsidR="00210061" w:rsidRDefault="00210061" w:rsidP="00210061">
            <w:pPr>
              <w:spacing w:before="120" w:after="100" w:afterAutospacing="1"/>
              <w:jc w:val="center"/>
              <w:rPr>
                <w:rFonts w:ascii="Times New Roman" w:eastAsia="Times New Roman" w:hAnsi="Times New Roman"/>
                <w:sz w:val="24"/>
                <w:szCs w:val="24"/>
                <w:lang w:val="es-ES"/>
              </w:rPr>
            </w:pPr>
            <w:r>
              <w:rPr>
                <w:rFonts w:ascii="Times New Roman" w:eastAsia="Times New Roman" w:hAnsi="Times New Roman"/>
                <w:sz w:val="24"/>
                <w:szCs w:val="24"/>
                <w:lang w:val="es-ES"/>
              </w:rPr>
              <w:t>0</w:t>
            </w:r>
          </w:p>
        </w:tc>
        <w:tc>
          <w:tcPr>
            <w:tcW w:w="4788" w:type="dxa"/>
          </w:tcPr>
          <w:p w:rsidR="00210061" w:rsidRDefault="00210061" w:rsidP="00210061">
            <w:pPr>
              <w:spacing w:before="120"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ES"/>
              </w:rPr>
            </w:pPr>
            <w:r>
              <w:rPr>
                <w:rFonts w:ascii="Times New Roman" w:eastAsia="Times New Roman" w:hAnsi="Times New Roman"/>
                <w:sz w:val="24"/>
                <w:szCs w:val="24"/>
                <w:lang w:val="es-ES"/>
              </w:rPr>
              <w:t>Octubre</w:t>
            </w:r>
          </w:p>
        </w:tc>
      </w:tr>
    </w:tbl>
    <w:p w:rsidR="00FE5C15" w:rsidRDefault="0053216D" w:rsidP="006C7905">
      <w:pPr>
        <w:pStyle w:val="ListParagraph"/>
        <w:numPr>
          <w:ilvl w:val="0"/>
          <w:numId w:val="3"/>
        </w:numPr>
        <w:spacing w:before="120" w:after="100" w:afterAutospacing="1"/>
        <w:rPr>
          <w:rFonts w:ascii="Times New Roman" w:eastAsia="Times New Roman" w:hAnsi="Times New Roman"/>
          <w:sz w:val="24"/>
          <w:szCs w:val="24"/>
          <w:lang w:val="es-ES"/>
        </w:rPr>
      </w:pPr>
      <w:r>
        <w:rPr>
          <w:rFonts w:ascii="Times New Roman" w:eastAsia="Times New Roman" w:hAnsi="Times New Roman"/>
          <w:sz w:val="24"/>
          <w:szCs w:val="24"/>
          <w:lang w:val="es-ES"/>
        </w:rPr>
        <w:t>Ninguna persona se dedicará a, o continuará un negocio, industria u ocupación alguna, para el cual se requiera licencia hasta que haya pagado los derechos correspondientes.</w:t>
      </w:r>
    </w:p>
    <w:p w:rsidR="006C7905" w:rsidRPr="006C7905" w:rsidRDefault="00E55DCB" w:rsidP="006C7905">
      <w:pPr>
        <w:pStyle w:val="ListParagraph"/>
        <w:numPr>
          <w:ilvl w:val="0"/>
          <w:numId w:val="3"/>
        </w:numPr>
        <w:spacing w:before="100" w:beforeAutospacing="1" w:after="100" w:afterAutospacing="1"/>
        <w:outlineLvl w:val="1"/>
        <w:rPr>
          <w:rFonts w:ascii="Times New Roman" w:eastAsia="Times New Roman" w:hAnsi="Times New Roman"/>
          <w:bCs/>
          <w:sz w:val="24"/>
          <w:szCs w:val="29"/>
          <w:lang w:val="es-ES"/>
        </w:rPr>
      </w:pPr>
      <w:r>
        <w:rPr>
          <w:rFonts w:ascii="Times New Roman" w:eastAsia="Times New Roman" w:hAnsi="Times New Roman"/>
          <w:bCs/>
          <w:sz w:val="24"/>
          <w:szCs w:val="29"/>
          <w:lang w:val="es-ES"/>
        </w:rPr>
        <w:t xml:space="preserve">A continuación se muestra una tabla con </w:t>
      </w:r>
      <w:r w:rsidR="002867E8">
        <w:rPr>
          <w:rFonts w:ascii="Times New Roman" w:eastAsia="Times New Roman" w:hAnsi="Times New Roman"/>
          <w:bCs/>
          <w:sz w:val="24"/>
          <w:szCs w:val="29"/>
          <w:lang w:val="es-ES"/>
        </w:rPr>
        <w:t xml:space="preserve">las </w:t>
      </w:r>
      <w:r>
        <w:rPr>
          <w:rFonts w:ascii="Times New Roman" w:eastAsia="Times New Roman" w:hAnsi="Times New Roman"/>
          <w:bCs/>
          <w:sz w:val="24"/>
          <w:szCs w:val="29"/>
          <w:lang w:val="es-ES"/>
        </w:rPr>
        <w:t>ocupaciones</w:t>
      </w:r>
      <w:r w:rsidR="00084F4C">
        <w:rPr>
          <w:rFonts w:ascii="Times New Roman" w:eastAsia="Times New Roman" w:hAnsi="Times New Roman"/>
          <w:bCs/>
          <w:sz w:val="24"/>
          <w:szCs w:val="29"/>
          <w:lang w:val="es-ES"/>
        </w:rPr>
        <w:t xml:space="preserve"> que requieren licencia y sus costos</w:t>
      </w:r>
      <w:r w:rsidR="00CE690C">
        <w:rPr>
          <w:rFonts w:ascii="Times New Roman" w:eastAsia="Times New Roman" w:hAnsi="Times New Roman"/>
          <w:bCs/>
          <w:sz w:val="24"/>
          <w:szCs w:val="29"/>
          <w:lang w:val="es-ES"/>
        </w:rPr>
        <w:t>:</w:t>
      </w:r>
      <w:r>
        <w:rPr>
          <w:rFonts w:ascii="Times New Roman" w:eastAsia="Times New Roman" w:hAnsi="Times New Roman"/>
          <w:bCs/>
          <w:sz w:val="24"/>
          <w:szCs w:val="29"/>
          <w:lang w:val="es-ES"/>
        </w:rPr>
        <w:t xml:space="preserve"> </w:t>
      </w:r>
    </w:p>
    <w:tbl>
      <w:tblPr>
        <w:tblStyle w:val="MediumGrid1-Accent5"/>
        <w:tblW w:w="9450" w:type="dxa"/>
        <w:tblInd w:w="108" w:type="dxa"/>
        <w:tblLook w:val="04A0" w:firstRow="1" w:lastRow="0" w:firstColumn="1" w:lastColumn="0" w:noHBand="0" w:noVBand="1"/>
      </w:tblPr>
      <w:tblGrid>
        <w:gridCol w:w="5942"/>
        <w:gridCol w:w="3508"/>
      </w:tblGrid>
      <w:tr w:rsidR="006C7905" w:rsidRPr="00A50AC6" w:rsidTr="00D61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6C7905" w:rsidRPr="00E55DCB" w:rsidRDefault="006C7905" w:rsidP="00D61366">
            <w:pPr>
              <w:rPr>
                <w:rFonts w:ascii="Times New Roman" w:eastAsia="Times New Roman" w:hAnsi="Times New Roman"/>
                <w:b w:val="0"/>
                <w:bCs w:val="0"/>
                <w:color w:val="525252"/>
                <w:sz w:val="24"/>
                <w:szCs w:val="24"/>
                <w:lang w:val="es-PR"/>
              </w:rPr>
            </w:pPr>
          </w:p>
        </w:tc>
        <w:tc>
          <w:tcPr>
            <w:tcW w:w="3508" w:type="dxa"/>
            <w:hideMark/>
          </w:tcPr>
          <w:p w:rsidR="006C7905" w:rsidRPr="00E55DCB" w:rsidRDefault="006C7905" w:rsidP="00D6136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525252"/>
                <w:sz w:val="24"/>
                <w:szCs w:val="24"/>
                <w:lang w:val="es-PR"/>
              </w:rPr>
            </w:pPr>
          </w:p>
        </w:tc>
      </w:tr>
      <w:tr w:rsidR="00D61366" w:rsidRPr="00886DB6" w:rsidTr="006C7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shd w:val="clear" w:color="auto" w:fill="548DD4" w:themeFill="text2" w:themeFillTint="99"/>
            <w:hideMark/>
          </w:tcPr>
          <w:p w:rsidR="00D61366" w:rsidRPr="00886DB6" w:rsidRDefault="00D61366" w:rsidP="006C7905">
            <w:pPr>
              <w:jc w:val="center"/>
              <w:rPr>
                <w:rFonts w:ascii="Times New Roman" w:eastAsia="Times New Roman" w:hAnsi="Times New Roman"/>
                <w:i/>
                <w:sz w:val="24"/>
                <w:szCs w:val="24"/>
              </w:rPr>
            </w:pPr>
            <w:r w:rsidRPr="006C7905">
              <w:rPr>
                <w:rFonts w:ascii="Times New Roman" w:eastAsia="Times New Roman" w:hAnsi="Times New Roman"/>
                <w:i/>
                <w:sz w:val="28"/>
                <w:szCs w:val="24"/>
              </w:rPr>
              <w:t>Ocupación</w:t>
            </w:r>
          </w:p>
        </w:tc>
        <w:tc>
          <w:tcPr>
            <w:tcW w:w="3508" w:type="dxa"/>
            <w:shd w:val="clear" w:color="auto" w:fill="548DD4" w:themeFill="text2" w:themeFillTint="99"/>
            <w:hideMark/>
          </w:tcPr>
          <w:p w:rsidR="00D61366" w:rsidRPr="00886DB6" w:rsidRDefault="00D61366" w:rsidP="006C790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4"/>
              </w:rPr>
            </w:pPr>
            <w:r w:rsidRPr="006C7905">
              <w:rPr>
                <w:rFonts w:ascii="Times New Roman" w:eastAsia="Times New Roman" w:hAnsi="Times New Roman"/>
                <w:b/>
                <w:bCs/>
                <w:i/>
                <w:sz w:val="28"/>
                <w:szCs w:val="24"/>
              </w:rPr>
              <w:t>Derechos de Licencia</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Cigarrillos - Mayoristas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$200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Cigarrillos - Detallistas Sitio Fijo, Ambulante y por cada máquina expendedora de cigarrillos</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$100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Ventas al Por Mayor desde Vehículos de Motor de cigarrillos - por vehículo</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$100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Gasolina - Mayorista</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$2,500 hasta $6,000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Gasolina - Detallista</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$100 hasta $900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Detallista - Venta de Bebidas Alcohólicas, Cigarrillos y Partes y Accesorios de Vehículos - por local</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$200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Vehículos de Motor - Traficantes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$200 hasta $1,000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Vehículos Partes y Accesorios al Por Mayor y al Detalle</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$100 hasta $2,000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Detalle en Cigarrillos y Bebidas Alcohólicas por Tiempo Limitado (hasta 15 días consecutivos) - por día</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$25</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Detalle - “Shows Vehículos de Motor” por Tiempo Limitado (Vehículos, Partes y Accesorios) (hasta 15 días consecutivos) - por día</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$100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Cemento - Fabricante o Traficante al Por Mayor</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$80,000 hasta $250,000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Armeros - Traficantes en Armas y Municiones</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$200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 xml:space="preserve">Por cada vellonera, por cada mesa de billar, por cada máquina o artefacto de pasatiempo manipulado con monedas o fichas de tipo mecánico, electrónico, o de video para niños y </w:t>
            </w:r>
            <w:r w:rsidRPr="00084F4C">
              <w:rPr>
                <w:rFonts w:ascii="Times New Roman" w:eastAsia="Times New Roman" w:hAnsi="Times New Roman"/>
                <w:sz w:val="24"/>
                <w:szCs w:val="24"/>
                <w:lang w:val="es-PR"/>
              </w:rPr>
              <w:lastRenderedPageBreak/>
              <w:t>jóvenes cuando las habilidades o destrezas del jugador afectan significativamente el resultado final de la partida</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lastRenderedPageBreak/>
              <w:t>$100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lastRenderedPageBreak/>
              <w:t>Por cada máquina de video y juego electrónico manipulado con monedas o ficha que contengan material de violencia o de índole sexual cuando las habilidades o destrezas del jugador afectan significativamente el resultado final de la partida</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$400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Por cada máquina de entretenimiento para adultos según definidas en la Ley Núm. 11 de 22 de agosto de 1933, según enmendada, conocida como la “Ley de Juegos de Azar”</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$2,250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Por cada negocio, establecimiento o local donde operen cuatro (4) o más máquinas o artefactos de pasatiempo manipulados con monedas o ficha, o mesas de billar</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$200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Por cada tienda en las zonas de puerto libre de aeropuertos y puertos marítimos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$1,000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Por cada negocio de porteador aéreo, marítimo o terrestre</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$2,000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Destiladores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$3,300 hasta $7,200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Fabricantes de Cerveza</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$900 hasta $2,700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Fabricantes de Vino</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$500 hasta $2,000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Rectificadores</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$500 hasta $3,700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Fabricantes de Alcohol Desnaturalizado</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$700 hasta $2,200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Envasadores de Bebidas Alcohólicas</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$700 hasta $2,200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rPr>
            </w:pPr>
            <w:r w:rsidRPr="00084F4C">
              <w:rPr>
                <w:rFonts w:ascii="Times New Roman" w:eastAsia="Times New Roman" w:hAnsi="Times New Roman"/>
                <w:sz w:val="24"/>
                <w:szCs w:val="24"/>
              </w:rPr>
              <w:t>Almacenes de Adeudo Público</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$700 hasta $2,200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Por Mayor en Espíritus Destilados o Rectificados</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$150 hasta $500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Por Mayor en Vinos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$150 hasta $500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Por Mayor en Cervezas</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$200 hasta $500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 Importador al Por Mayor en Bebidas Alcohólicas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$2,500 hasta $7,500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Por Mayor en Alcohol Industrial</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$200 hasta $600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Por Mayor en Bebidas Alcohólicas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$800 hasta $2,500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Ventas al Por Mayor desde Vehículos de Motor</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$200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Categoría “A” Traficantes al Detalle en Bebidas Alcohólicas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$200 hasta $1,800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 xml:space="preserve">Categoría “B” Traficantes al Detalle en Bebidas </w:t>
            </w:r>
            <w:r w:rsidRPr="00084F4C">
              <w:rPr>
                <w:rFonts w:ascii="Times New Roman" w:eastAsia="Times New Roman" w:hAnsi="Times New Roman"/>
                <w:sz w:val="24"/>
                <w:szCs w:val="24"/>
                <w:lang w:val="es-PR"/>
              </w:rPr>
              <w:lastRenderedPageBreak/>
              <w:t>Alcohólicas</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lastRenderedPageBreak/>
              <w:t>Desde $200 hasta $1,800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lastRenderedPageBreak/>
              <w:t>Categoría “C” Traficantes al Detalle en Bebidas Alcohólicas</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$1,300</w:t>
            </w:r>
          </w:p>
        </w:tc>
      </w:tr>
      <w:tr w:rsidR="00D61366" w:rsidRPr="00886DB6" w:rsidTr="00D61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Detalle en Alcohol Industrial</w:t>
            </w:r>
          </w:p>
        </w:tc>
        <w:tc>
          <w:tcPr>
            <w:tcW w:w="3508" w:type="dxa"/>
            <w:hideMark/>
          </w:tcPr>
          <w:p w:rsidR="00D61366" w:rsidRPr="00084F4C" w:rsidRDefault="00D61366" w:rsidP="00D613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Desde $50 hasta $200</w:t>
            </w:r>
          </w:p>
        </w:tc>
      </w:tr>
      <w:tr w:rsidR="00D61366" w:rsidRPr="00886DB6" w:rsidTr="00D61366">
        <w:tc>
          <w:tcPr>
            <w:cnfStyle w:val="001000000000" w:firstRow="0" w:lastRow="0" w:firstColumn="1" w:lastColumn="0" w:oddVBand="0" w:evenVBand="0" w:oddHBand="0" w:evenHBand="0" w:firstRowFirstColumn="0" w:firstRowLastColumn="0" w:lastRowFirstColumn="0" w:lastRowLastColumn="0"/>
            <w:tcW w:w="5942" w:type="dxa"/>
            <w:hideMark/>
          </w:tcPr>
          <w:p w:rsidR="00D61366" w:rsidRPr="00084F4C" w:rsidRDefault="00D61366" w:rsidP="003C6A49">
            <w:pPr>
              <w:pStyle w:val="ListParagraph"/>
              <w:numPr>
                <w:ilvl w:val="0"/>
                <w:numId w:val="10"/>
              </w:numPr>
              <w:rPr>
                <w:rFonts w:ascii="Times New Roman" w:eastAsia="Times New Roman" w:hAnsi="Times New Roman"/>
                <w:sz w:val="24"/>
                <w:szCs w:val="24"/>
                <w:lang w:val="es-PR"/>
              </w:rPr>
            </w:pPr>
            <w:r w:rsidRPr="00084F4C">
              <w:rPr>
                <w:rFonts w:ascii="Times New Roman" w:eastAsia="Times New Roman" w:hAnsi="Times New Roman"/>
                <w:sz w:val="24"/>
                <w:szCs w:val="24"/>
                <w:lang w:val="es-PR"/>
              </w:rPr>
              <w:t>Traficantes al Detalle en Bebidas Alcohólicas por Tiempo Limitado - por día</w:t>
            </w:r>
          </w:p>
        </w:tc>
        <w:tc>
          <w:tcPr>
            <w:tcW w:w="3508" w:type="dxa"/>
            <w:hideMark/>
          </w:tcPr>
          <w:p w:rsidR="00D61366" w:rsidRPr="00084F4C" w:rsidRDefault="00D61366" w:rsidP="00D613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84F4C">
              <w:rPr>
                <w:rFonts w:ascii="Times New Roman" w:eastAsia="Times New Roman" w:hAnsi="Times New Roman"/>
                <w:sz w:val="24"/>
                <w:szCs w:val="24"/>
              </w:rPr>
              <w:t>$15.00</w:t>
            </w:r>
          </w:p>
        </w:tc>
      </w:tr>
    </w:tbl>
    <w:p w:rsidR="00D61366" w:rsidRPr="00D61366" w:rsidRDefault="00D61366" w:rsidP="003C6A49">
      <w:pPr>
        <w:spacing w:before="120" w:after="0" w:line="120" w:lineRule="auto"/>
        <w:rPr>
          <w:rFonts w:ascii="Times New Roman" w:eastAsia="Times New Roman" w:hAnsi="Times New Roman"/>
          <w:sz w:val="24"/>
          <w:szCs w:val="24"/>
          <w:lang w:val="es-ES"/>
        </w:rPr>
      </w:pP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9454"/>
      </w:tblGrid>
      <w:tr w:rsidR="00210061" w:rsidRPr="00A50AC6" w:rsidTr="00FF71BA">
        <w:trPr>
          <w:trHeight w:val="382"/>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210061" w:rsidRPr="00E8314F" w:rsidRDefault="00210061" w:rsidP="00FF71B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8"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0"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210061" w:rsidRPr="002608D6" w:rsidRDefault="00210061" w:rsidP="00FF71B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ED6173">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ED6173">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A50AC6" w:rsidRPr="00A50AC6" w:rsidRDefault="003C2027" w:rsidP="00A50AC6">
      <w:pPr>
        <w:pStyle w:val="ListParagraph"/>
        <w:numPr>
          <w:ilvl w:val="0"/>
          <w:numId w:val="7"/>
        </w:numPr>
        <w:shd w:val="clear" w:color="auto" w:fill="FFFFFF"/>
        <w:spacing w:before="120" w:after="120" w:line="240" w:lineRule="auto"/>
        <w:ind w:left="720"/>
        <w:rPr>
          <w:rFonts w:ascii="Times New Roman" w:hAnsi="Times New Roman"/>
          <w:color w:val="000000"/>
          <w:sz w:val="24"/>
          <w:lang w:val="es-PR"/>
        </w:rPr>
      </w:pPr>
      <w:hyperlink r:id="rId11" w:history="1">
        <w:r w:rsidR="00A50AC6" w:rsidRPr="00AB1D90">
          <w:rPr>
            <w:rStyle w:val="Hyperlink"/>
            <w:rFonts w:ascii="Times New Roman" w:hAnsi="Times New Roman"/>
            <w:sz w:val="24"/>
            <w:lang w:val="es-ES"/>
          </w:rPr>
          <w:t>Código de Rentas Internas para un Nuevos Puerto Rico 2011</w:t>
        </w:r>
      </w:hyperlink>
      <w:r w:rsidR="00A50AC6">
        <w:rPr>
          <w:rFonts w:ascii="Times New Roman" w:hAnsi="Times New Roman"/>
          <w:sz w:val="24"/>
          <w:lang w:val="es-ES"/>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210061" w:rsidRPr="00A50AC6" w:rsidTr="00FF71B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210061" w:rsidRPr="00A625BF" w:rsidRDefault="00210061" w:rsidP="00FF71B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52425" cy="295275"/>
                  <wp:effectExtent l="19050" t="0" r="9525" b="0"/>
                  <wp:docPr id="20" name="Picture 2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nero"/>
                          <pic:cNvPicPr>
                            <a:picLocks noChangeAspect="1" noChangeArrowheads="1"/>
                          </pic:cNvPicPr>
                        </pic:nvPicPr>
                        <pic:blipFill>
                          <a:blip r:embed="rId12"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210061" w:rsidRPr="002608D6" w:rsidRDefault="00ED6173" w:rsidP="00FF71B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210061" w:rsidRPr="002608D6">
              <w:rPr>
                <w:rFonts w:ascii="Times New Roman" w:eastAsiaTheme="minorHAnsi" w:hAnsi="Times New Roman"/>
                <w:b/>
                <w:sz w:val="28"/>
                <w:szCs w:val="28"/>
                <w:lang w:val="es-PR"/>
              </w:rPr>
              <w:t>ago</w:t>
            </w:r>
          </w:p>
        </w:tc>
      </w:tr>
    </w:tbl>
    <w:p w:rsidR="00210061" w:rsidRPr="004D0C44" w:rsidRDefault="00210061" w:rsidP="00210061">
      <w:pPr>
        <w:pStyle w:val="NormalWeb"/>
        <w:numPr>
          <w:ilvl w:val="0"/>
          <w:numId w:val="2"/>
        </w:numPr>
        <w:spacing w:before="120" w:beforeAutospacing="0" w:after="120" w:afterAutospacing="0"/>
        <w:rPr>
          <w:sz w:val="23"/>
          <w:szCs w:val="23"/>
          <w:lang w:val="es-ES"/>
        </w:rPr>
      </w:pPr>
      <w:r>
        <w:rPr>
          <w:szCs w:val="23"/>
          <w:lang w:val="es-ES"/>
        </w:rPr>
        <w:t>Los métodos de pago para l</w:t>
      </w:r>
      <w:r w:rsidRPr="007B1C32">
        <w:rPr>
          <w:szCs w:val="23"/>
          <w:lang w:val="es-ES"/>
        </w:rPr>
        <w:t>os derechos de licencia</w:t>
      </w:r>
      <w:r>
        <w:rPr>
          <w:szCs w:val="23"/>
          <w:lang w:val="es-ES"/>
        </w:rPr>
        <w:t xml:space="preserve"> son los siguientes:</w:t>
      </w:r>
    </w:p>
    <w:p w:rsidR="00210061" w:rsidRPr="004D0C44" w:rsidRDefault="00210061" w:rsidP="00210061">
      <w:pPr>
        <w:pStyle w:val="NormalWeb"/>
        <w:numPr>
          <w:ilvl w:val="0"/>
          <w:numId w:val="8"/>
        </w:numPr>
        <w:spacing w:before="0" w:beforeAutospacing="0" w:after="0" w:afterAutospacing="0"/>
        <w:ind w:left="1483"/>
        <w:rPr>
          <w:sz w:val="23"/>
          <w:szCs w:val="23"/>
          <w:lang w:val="es-ES"/>
        </w:rPr>
      </w:pPr>
      <w:r>
        <w:rPr>
          <w:szCs w:val="23"/>
          <w:lang w:val="es-ES"/>
        </w:rPr>
        <w:t>E</w:t>
      </w:r>
      <w:r w:rsidRPr="007B1C32">
        <w:rPr>
          <w:szCs w:val="23"/>
          <w:lang w:val="es-ES"/>
        </w:rPr>
        <w:t>fectivo</w:t>
      </w:r>
    </w:p>
    <w:p w:rsidR="00210061" w:rsidRPr="004D0C44" w:rsidRDefault="00210061" w:rsidP="00210061">
      <w:pPr>
        <w:pStyle w:val="NormalWeb"/>
        <w:numPr>
          <w:ilvl w:val="0"/>
          <w:numId w:val="8"/>
        </w:numPr>
        <w:spacing w:before="0" w:beforeAutospacing="0" w:after="0" w:afterAutospacing="0"/>
        <w:ind w:left="1483"/>
        <w:rPr>
          <w:sz w:val="23"/>
          <w:szCs w:val="23"/>
          <w:lang w:val="es-ES"/>
        </w:rPr>
      </w:pPr>
      <w:r w:rsidRPr="007B1C32">
        <w:rPr>
          <w:szCs w:val="23"/>
          <w:lang w:val="es-ES"/>
        </w:rPr>
        <w:t xml:space="preserve"> </w:t>
      </w:r>
      <w:r>
        <w:rPr>
          <w:szCs w:val="23"/>
          <w:lang w:val="es-ES"/>
        </w:rPr>
        <w:t>G</w:t>
      </w:r>
      <w:r w:rsidRPr="007B1C32">
        <w:rPr>
          <w:szCs w:val="23"/>
          <w:lang w:val="es-ES"/>
        </w:rPr>
        <w:t>iro postal</w:t>
      </w:r>
    </w:p>
    <w:p w:rsidR="00210061" w:rsidRPr="004D0C44" w:rsidRDefault="00210061" w:rsidP="00210061">
      <w:pPr>
        <w:pStyle w:val="NormalWeb"/>
        <w:numPr>
          <w:ilvl w:val="0"/>
          <w:numId w:val="8"/>
        </w:numPr>
        <w:spacing w:before="0" w:beforeAutospacing="0" w:after="0" w:afterAutospacing="0"/>
        <w:ind w:left="1483"/>
        <w:rPr>
          <w:sz w:val="23"/>
          <w:szCs w:val="23"/>
          <w:lang w:val="es-ES"/>
        </w:rPr>
      </w:pPr>
      <w:r w:rsidRPr="007B1C32">
        <w:rPr>
          <w:szCs w:val="23"/>
          <w:lang w:val="es-ES"/>
        </w:rPr>
        <w:t xml:space="preserve"> </w:t>
      </w:r>
      <w:r>
        <w:rPr>
          <w:szCs w:val="23"/>
          <w:lang w:val="es-ES"/>
        </w:rPr>
        <w:t>Cheque c</w:t>
      </w:r>
      <w:r w:rsidRPr="007B1C32">
        <w:rPr>
          <w:szCs w:val="23"/>
          <w:lang w:val="es-ES"/>
        </w:rPr>
        <w:t>ertificado</w:t>
      </w:r>
    </w:p>
    <w:p w:rsidR="00210061" w:rsidRPr="004D0C44" w:rsidRDefault="00210061" w:rsidP="00210061">
      <w:pPr>
        <w:pStyle w:val="NormalWeb"/>
        <w:numPr>
          <w:ilvl w:val="0"/>
          <w:numId w:val="8"/>
        </w:numPr>
        <w:spacing w:before="0" w:beforeAutospacing="0" w:after="0" w:afterAutospacing="0"/>
        <w:ind w:left="1483"/>
        <w:rPr>
          <w:sz w:val="23"/>
          <w:szCs w:val="23"/>
          <w:lang w:val="es-ES"/>
        </w:rPr>
      </w:pPr>
      <w:r w:rsidRPr="007B1C32">
        <w:rPr>
          <w:szCs w:val="23"/>
          <w:lang w:val="es-ES"/>
        </w:rPr>
        <w:t xml:space="preserve"> ATH</w:t>
      </w:r>
    </w:p>
    <w:p w:rsidR="00210061" w:rsidRPr="004D0C44" w:rsidRDefault="00210061" w:rsidP="00210061">
      <w:pPr>
        <w:pStyle w:val="NormalWeb"/>
        <w:numPr>
          <w:ilvl w:val="0"/>
          <w:numId w:val="8"/>
        </w:numPr>
        <w:spacing w:before="0" w:beforeAutospacing="0" w:after="0" w:afterAutospacing="0"/>
        <w:ind w:left="1483"/>
        <w:rPr>
          <w:sz w:val="23"/>
          <w:szCs w:val="23"/>
          <w:lang w:val="es-ES"/>
        </w:rPr>
      </w:pPr>
      <w:r w:rsidRPr="007B1C32">
        <w:rPr>
          <w:szCs w:val="23"/>
          <w:lang w:val="es-ES"/>
        </w:rPr>
        <w:t xml:space="preserve"> Visa</w:t>
      </w:r>
    </w:p>
    <w:p w:rsidR="00210061" w:rsidRDefault="00210061" w:rsidP="00210061">
      <w:pPr>
        <w:pStyle w:val="NormalWeb"/>
        <w:numPr>
          <w:ilvl w:val="0"/>
          <w:numId w:val="8"/>
        </w:numPr>
        <w:spacing w:before="0" w:beforeAutospacing="0" w:after="0" w:afterAutospacing="0"/>
        <w:ind w:left="1483"/>
        <w:rPr>
          <w:sz w:val="23"/>
          <w:szCs w:val="23"/>
          <w:lang w:val="es-ES"/>
        </w:rPr>
      </w:pPr>
      <w:r w:rsidRPr="007B1C32">
        <w:rPr>
          <w:szCs w:val="23"/>
          <w:lang w:val="es-ES"/>
        </w:rPr>
        <w:t xml:space="preserve"> MasterCard </w:t>
      </w:r>
    </w:p>
    <w:p w:rsidR="00210061" w:rsidRPr="004D0C44" w:rsidRDefault="00210061" w:rsidP="00210061">
      <w:pPr>
        <w:pStyle w:val="NormalWeb"/>
        <w:numPr>
          <w:ilvl w:val="0"/>
          <w:numId w:val="9"/>
        </w:numPr>
        <w:spacing w:before="0" w:beforeAutospacing="0" w:after="120" w:afterAutospacing="0"/>
        <w:rPr>
          <w:sz w:val="23"/>
          <w:szCs w:val="23"/>
          <w:lang w:val="es-ES"/>
        </w:rPr>
      </w:pPr>
      <w:r>
        <w:rPr>
          <w:szCs w:val="23"/>
          <w:lang w:val="es-ES"/>
        </w:rPr>
        <w:t>Los pagos podrán realizarse a través de</w:t>
      </w:r>
      <w:r w:rsidRPr="004D0C44">
        <w:rPr>
          <w:szCs w:val="23"/>
          <w:lang w:val="es-ES"/>
        </w:rPr>
        <w:t xml:space="preserve"> las Colecturía</w:t>
      </w:r>
      <w:r>
        <w:rPr>
          <w:szCs w:val="23"/>
          <w:lang w:val="es-ES"/>
        </w:rPr>
        <w:t>s de Rentas Internas.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210061" w:rsidRPr="00A50AC6" w:rsidTr="00FF71B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210061" w:rsidRPr="00A625BF" w:rsidRDefault="00210061" w:rsidP="00FF71B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352425" cy="342900"/>
                  <wp:effectExtent l="19050" t="0" r="9525" b="0"/>
                  <wp:docPr id="21" name="Picture 21"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oj y mapa"/>
                          <pic:cNvPicPr>
                            <a:picLocks noChangeAspect="1" noChangeArrowheads="1"/>
                          </pic:cNvPicPr>
                        </pic:nvPicPr>
                        <pic:blipFill>
                          <a:blip r:embed="rId13" cstate="print"/>
                          <a:srcRect/>
                          <a:stretch>
                            <a:fillRect/>
                          </a:stretch>
                        </pic:blipFill>
                        <pic:spPr bwMode="auto">
                          <a:xfrm>
                            <a:off x="0" y="0"/>
                            <a:ext cx="352425" cy="34290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210061" w:rsidRPr="002608D6" w:rsidRDefault="00ED6173" w:rsidP="00FF71B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210061" w:rsidRPr="002608D6">
              <w:rPr>
                <w:rFonts w:ascii="Times New Roman" w:eastAsiaTheme="minorHAnsi" w:hAnsi="Times New Roman"/>
                <w:b/>
                <w:sz w:val="28"/>
                <w:szCs w:val="28"/>
                <w:lang w:val="es-PR"/>
              </w:rPr>
              <w:t>ervicio</w:t>
            </w:r>
          </w:p>
        </w:tc>
      </w:tr>
    </w:tbl>
    <w:p w:rsidR="00210061" w:rsidRDefault="00210061" w:rsidP="00210061">
      <w:pPr>
        <w:pStyle w:val="ListParagraph"/>
        <w:numPr>
          <w:ilvl w:val="0"/>
          <w:numId w:val="4"/>
        </w:numPr>
        <w:shd w:val="clear" w:color="auto" w:fill="FFFFFF"/>
        <w:tabs>
          <w:tab w:val="left" w:pos="198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10061" w:rsidRPr="00B96F57" w:rsidRDefault="00210061" w:rsidP="00210061">
      <w:pPr>
        <w:pStyle w:val="ListParagraph"/>
        <w:shd w:val="clear" w:color="auto" w:fill="FFFFFF"/>
        <w:spacing w:before="120" w:after="120" w:line="240" w:lineRule="auto"/>
        <w:ind w:left="900"/>
        <w:rPr>
          <w:rFonts w:ascii="Times New Roman" w:hAnsi="Times New Roman"/>
          <w:color w:val="000000"/>
          <w:sz w:val="16"/>
          <w:szCs w:val="16"/>
          <w:lang w:val="es-PR"/>
        </w:rPr>
      </w:pPr>
    </w:p>
    <w:p w:rsidR="00210061" w:rsidRDefault="00210061" w:rsidP="00210061">
      <w:pPr>
        <w:pStyle w:val="ListParagraph"/>
        <w:numPr>
          <w:ilvl w:val="0"/>
          <w:numId w:val="4"/>
        </w:numPr>
        <w:shd w:val="clear" w:color="auto" w:fill="FFFFFF"/>
        <w:tabs>
          <w:tab w:val="left" w:pos="189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t xml:space="preserve"> </w:t>
      </w:r>
      <w:r>
        <w:rPr>
          <w:rFonts w:ascii="Times New Roman" w:hAnsi="Times New Roman"/>
          <w:color w:val="000000"/>
          <w:sz w:val="24"/>
          <w:lang w:val="es-PR"/>
        </w:rPr>
        <w:t>Lunes a Viernes</w:t>
      </w:r>
    </w:p>
    <w:p w:rsidR="00210061" w:rsidRDefault="00210061" w:rsidP="00210061">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210061" w:rsidRPr="00B96F57" w:rsidRDefault="00210061" w:rsidP="00210061">
      <w:pPr>
        <w:pStyle w:val="ListParagraph"/>
        <w:shd w:val="clear" w:color="auto" w:fill="FFFFFF"/>
        <w:spacing w:before="120" w:after="120" w:line="240" w:lineRule="auto"/>
        <w:ind w:left="900"/>
        <w:rPr>
          <w:rFonts w:ascii="Times New Roman" w:hAnsi="Times New Roman"/>
          <w:color w:val="000000"/>
          <w:sz w:val="16"/>
          <w:szCs w:val="16"/>
          <w:lang w:val="es-PR"/>
        </w:rPr>
      </w:pPr>
    </w:p>
    <w:p w:rsidR="00210061" w:rsidRDefault="00210061" w:rsidP="00210061">
      <w:pPr>
        <w:pStyle w:val="ListParagraph"/>
        <w:numPr>
          <w:ilvl w:val="0"/>
          <w:numId w:val="4"/>
        </w:numPr>
        <w:shd w:val="clear" w:color="auto" w:fill="FFFFFF"/>
        <w:tabs>
          <w:tab w:val="left" w:pos="1980"/>
          <w:tab w:val="left" w:pos="216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10061" w:rsidRDefault="00210061" w:rsidP="00210061">
      <w:pPr>
        <w:pStyle w:val="ListParagraph"/>
        <w:shd w:val="clear" w:color="auto" w:fill="FFFFFF"/>
        <w:tabs>
          <w:tab w:val="left" w:pos="1980"/>
          <w:tab w:val="left" w:pos="2250"/>
        </w:tabs>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10061" w:rsidRDefault="00210061" w:rsidP="00210061">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210061" w:rsidRPr="00B96F57" w:rsidRDefault="00210061" w:rsidP="00210061">
      <w:pPr>
        <w:pStyle w:val="ListParagraph"/>
        <w:shd w:val="clear" w:color="auto" w:fill="FFFFFF"/>
        <w:spacing w:before="120" w:after="120" w:line="240" w:lineRule="auto"/>
        <w:ind w:left="900"/>
        <w:rPr>
          <w:rFonts w:ascii="Times New Roman" w:hAnsi="Times New Roman"/>
          <w:color w:val="000000"/>
          <w:sz w:val="16"/>
          <w:szCs w:val="16"/>
          <w:lang w:val="es-PR"/>
        </w:rPr>
      </w:pPr>
    </w:p>
    <w:p w:rsidR="00210061" w:rsidRDefault="00210061" w:rsidP="00210061">
      <w:pPr>
        <w:pStyle w:val="ListParagraph"/>
        <w:numPr>
          <w:ilvl w:val="0"/>
          <w:numId w:val="4"/>
        </w:numPr>
        <w:shd w:val="clear" w:color="auto" w:fill="FFFFFF"/>
        <w:tabs>
          <w:tab w:val="left" w:pos="360"/>
          <w:tab w:val="left" w:pos="1260"/>
          <w:tab w:val="left" w:pos="1980"/>
        </w:tabs>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t>(787) 522-5055 / 5056</w:t>
      </w:r>
    </w:p>
    <w:p w:rsidR="00A50AC6" w:rsidRPr="00A50AC6" w:rsidRDefault="00A50AC6" w:rsidP="00A50AC6">
      <w:pPr>
        <w:shd w:val="clear" w:color="auto" w:fill="FFFFFF"/>
        <w:tabs>
          <w:tab w:val="left" w:pos="360"/>
          <w:tab w:val="left" w:pos="1260"/>
          <w:tab w:val="left" w:pos="1980"/>
        </w:tabs>
        <w:spacing w:before="120" w:after="120" w:line="240" w:lineRule="auto"/>
        <w:rPr>
          <w:rFonts w:ascii="Times New Roman" w:hAnsi="Times New Roman"/>
          <w:color w:val="000000"/>
          <w:sz w:val="24"/>
          <w:lang w:val="es-PR"/>
        </w:rPr>
      </w:pPr>
    </w:p>
    <w:p w:rsidR="00A50AC6" w:rsidRPr="00A50AC6" w:rsidRDefault="003C2027" w:rsidP="00A50AC6">
      <w:pPr>
        <w:pStyle w:val="ListParagraph"/>
        <w:numPr>
          <w:ilvl w:val="0"/>
          <w:numId w:val="4"/>
        </w:numPr>
        <w:shd w:val="clear" w:color="auto" w:fill="FFFFFF"/>
        <w:tabs>
          <w:tab w:val="left" w:pos="360"/>
          <w:tab w:val="left" w:pos="1260"/>
          <w:tab w:val="left" w:pos="1980"/>
        </w:tabs>
        <w:spacing w:before="120" w:after="120" w:line="240" w:lineRule="auto"/>
        <w:ind w:left="720"/>
        <w:rPr>
          <w:rFonts w:ascii="Times New Roman" w:hAnsi="Times New Roman"/>
          <w:color w:val="000000"/>
          <w:sz w:val="24"/>
          <w:lang w:val="es-PR"/>
        </w:rPr>
      </w:pPr>
      <w:hyperlink r:id="rId14" w:history="1">
        <w:r w:rsidR="00A50AC6" w:rsidRPr="00AB1D90">
          <w:rPr>
            <w:rStyle w:val="Hyperlink"/>
            <w:rFonts w:ascii="Times New Roman" w:hAnsi="Times New Roman"/>
            <w:sz w:val="24"/>
            <w:lang w:val="es-PR"/>
          </w:rPr>
          <w:t>Directorio de Colecturía</w:t>
        </w:r>
      </w:hyperlink>
    </w:p>
    <w:p w:rsidR="00A50AC6" w:rsidRPr="00A50AC6" w:rsidRDefault="003C2027" w:rsidP="00A50AC6">
      <w:pPr>
        <w:pStyle w:val="ListParagraph"/>
        <w:numPr>
          <w:ilvl w:val="0"/>
          <w:numId w:val="4"/>
        </w:numPr>
        <w:shd w:val="clear" w:color="auto" w:fill="FFFFFF"/>
        <w:spacing w:before="120" w:after="120" w:line="240" w:lineRule="auto"/>
        <w:ind w:left="720"/>
        <w:rPr>
          <w:rFonts w:ascii="Times New Roman" w:hAnsi="Times New Roman"/>
          <w:color w:val="000000"/>
          <w:sz w:val="24"/>
          <w:lang w:val="es-PR"/>
        </w:rPr>
      </w:pPr>
      <w:hyperlink r:id="rId15" w:history="1">
        <w:r w:rsidR="00A50AC6" w:rsidRPr="00AB1D90">
          <w:rPr>
            <w:rStyle w:val="Hyperlink"/>
            <w:rFonts w:ascii="Times New Roman" w:hAnsi="Times New Roman"/>
            <w:sz w:val="24"/>
            <w:lang w:val="es-PR"/>
          </w:rPr>
          <w:t>Directorio de Distritos de Cobro</w:t>
        </w:r>
      </w:hyperlink>
    </w:p>
    <w:p w:rsidR="00A50AC6" w:rsidRPr="00A50AC6" w:rsidRDefault="003C2027" w:rsidP="00A50AC6">
      <w:pPr>
        <w:pStyle w:val="ListParagraph"/>
        <w:numPr>
          <w:ilvl w:val="0"/>
          <w:numId w:val="4"/>
        </w:numPr>
        <w:shd w:val="clear" w:color="auto" w:fill="FFFFFF"/>
        <w:tabs>
          <w:tab w:val="left" w:pos="720"/>
        </w:tabs>
        <w:spacing w:before="120" w:after="120" w:line="240" w:lineRule="auto"/>
        <w:ind w:hanging="540"/>
        <w:rPr>
          <w:rFonts w:ascii="Times New Roman" w:hAnsi="Times New Roman"/>
          <w:color w:val="000000"/>
          <w:sz w:val="24"/>
          <w:lang w:val="es-PR"/>
        </w:rPr>
      </w:pPr>
      <w:hyperlink r:id="rId16" w:history="1">
        <w:r w:rsidR="00A50AC6" w:rsidRPr="00AB1D90">
          <w:rPr>
            <w:rStyle w:val="Hyperlink"/>
            <w:rFonts w:ascii="Times New Roman" w:hAnsi="Times New Roman"/>
            <w:sz w:val="24"/>
            <w:lang w:val="es-PR"/>
          </w:rPr>
          <w:t>Directorio de Centros de Servicio</w:t>
        </w:r>
      </w:hyperlink>
    </w:p>
    <w:p w:rsidR="00210061" w:rsidRPr="00A50AC6" w:rsidRDefault="003C2027" w:rsidP="00A50AC6">
      <w:pPr>
        <w:pStyle w:val="ListParagraph"/>
        <w:numPr>
          <w:ilvl w:val="0"/>
          <w:numId w:val="4"/>
        </w:numPr>
        <w:shd w:val="clear" w:color="auto" w:fill="FFFFFF"/>
        <w:spacing w:before="120" w:after="120" w:line="240" w:lineRule="auto"/>
        <w:ind w:left="720"/>
        <w:rPr>
          <w:rFonts w:ascii="Times New Roman" w:hAnsi="Times New Roman"/>
          <w:color w:val="000000"/>
          <w:sz w:val="24"/>
          <w:lang w:val="es-PR"/>
        </w:rPr>
      </w:pPr>
      <w:hyperlink r:id="rId17" w:history="1">
        <w:r w:rsidR="00A50AC6" w:rsidRPr="00AB1D90">
          <w:rPr>
            <w:rStyle w:val="Hyperlink"/>
            <w:rFonts w:ascii="Times New Roman" w:hAnsi="Times New Roman"/>
            <w:sz w:val="24"/>
            <w:lang w:val="es-PR"/>
          </w:rPr>
          <w:t>Contacto del Procurador del Contribuyente</w:t>
        </w:r>
      </w:hyperlink>
    </w:p>
    <w:p w:rsidR="00A50AC6" w:rsidRPr="00A50AC6" w:rsidRDefault="00A50AC6" w:rsidP="00A50AC6">
      <w:pPr>
        <w:pStyle w:val="ListParagraph"/>
        <w:shd w:val="clear" w:color="auto" w:fill="FFFFFF"/>
        <w:spacing w:before="120" w:after="120" w:line="240" w:lineRule="auto"/>
        <w:rPr>
          <w:rFonts w:ascii="Times New Roman" w:hAnsi="Times New Roman"/>
          <w:color w:val="000000"/>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210061" w:rsidRPr="00C268D9" w:rsidTr="00FF71BA">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210061" w:rsidRPr="00A625BF" w:rsidRDefault="00210061" w:rsidP="00FF71BA">
            <w:pPr>
              <w:pStyle w:val="NormalWeb"/>
              <w:rPr>
                <w:rFonts w:ascii="Verdana" w:hAnsi="Verdana" w:cs="Arial"/>
                <w:color w:val="000000"/>
                <w:sz w:val="20"/>
                <w:szCs w:val="20"/>
                <w:lang w:val="es-PR"/>
              </w:rPr>
            </w:pPr>
            <w:r>
              <w:rPr>
                <w:rFonts w:ascii="Verdana" w:hAnsi="Verdana" w:cs="Arial"/>
                <w:noProof/>
                <w:color w:val="000000"/>
                <w:sz w:val="20"/>
                <w:szCs w:val="20"/>
              </w:rPr>
              <w:lastRenderedPageBreak/>
              <w:drawing>
                <wp:inline distT="0" distB="0" distL="0" distR="0">
                  <wp:extent cx="381000" cy="247650"/>
                  <wp:effectExtent l="19050" t="0" r="0" b="0"/>
                  <wp:docPr id="22" name="Picture 22"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laces"/>
                          <pic:cNvPicPr>
                            <a:picLocks noChangeAspect="1" noChangeArrowheads="1"/>
                          </pic:cNvPicPr>
                        </pic:nvPicPr>
                        <pic:blipFill>
                          <a:blip r:embed="rId1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210061" w:rsidRPr="002608D6" w:rsidRDefault="00ED6173" w:rsidP="00FF71B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210061" w:rsidRPr="002608D6">
              <w:rPr>
                <w:rFonts w:ascii="Times New Roman" w:eastAsiaTheme="minorHAnsi" w:hAnsi="Times New Roman"/>
                <w:b/>
                <w:sz w:val="28"/>
                <w:szCs w:val="28"/>
                <w:lang w:val="es-PR"/>
              </w:rPr>
              <w:t>elacionados</w:t>
            </w:r>
          </w:p>
        </w:tc>
      </w:tr>
    </w:tbl>
    <w:p w:rsidR="00B80B8A" w:rsidRPr="00A50AC6" w:rsidRDefault="003C2027" w:rsidP="00A50AC6">
      <w:pPr>
        <w:pStyle w:val="ListParagraph"/>
        <w:numPr>
          <w:ilvl w:val="0"/>
          <w:numId w:val="6"/>
        </w:numPr>
        <w:spacing w:before="120" w:after="120" w:line="240" w:lineRule="auto"/>
        <w:rPr>
          <w:rFonts w:ascii="Times New Roman" w:hAnsi="Times New Roman"/>
          <w:color w:val="17365D" w:themeColor="text2" w:themeShade="BF"/>
          <w:sz w:val="24"/>
          <w:lang w:val="es-PR"/>
        </w:rPr>
      </w:pPr>
      <w:hyperlink r:id="rId19" w:history="1">
        <w:r w:rsidR="00A50AC6" w:rsidRPr="00215E97">
          <w:rPr>
            <w:rStyle w:val="Hyperlink"/>
            <w:rFonts w:ascii="Times New Roman" w:hAnsi="Times New Roman"/>
            <w:sz w:val="24"/>
            <w:lang w:val="es-PR"/>
          </w:rPr>
          <w:t>Portal del Departamento de Hacienda</w:t>
        </w:r>
      </w:hyperlink>
    </w:p>
    <w:p w:rsidR="00B80B8A" w:rsidRPr="00B80B8A" w:rsidRDefault="00B80B8A" w:rsidP="00B80B8A">
      <w:pPr>
        <w:spacing w:before="120" w:after="120" w:line="240" w:lineRule="auto"/>
        <w:rPr>
          <w:rFonts w:ascii="Times New Roman" w:hAnsi="Times New Roman"/>
          <w:color w:val="17365D" w:themeColor="text2" w:themeShade="BF"/>
          <w:sz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0B2F75" w:rsidRPr="00A05F47" w:rsidTr="00242075">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0B2F75" w:rsidRPr="00A625BF" w:rsidRDefault="000B2F75" w:rsidP="00242075">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4"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0B2F75" w:rsidRPr="00F84D63" w:rsidRDefault="00ED6173" w:rsidP="0024207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0B2F75" w:rsidRPr="00F84D63">
              <w:rPr>
                <w:rFonts w:ascii="Times New Roman" w:eastAsiaTheme="minorHAnsi" w:hAnsi="Times New Roman"/>
                <w:b/>
                <w:sz w:val="28"/>
                <w:szCs w:val="28"/>
                <w:lang w:val="es-PR"/>
              </w:rPr>
              <w:t>recuentes</w:t>
            </w:r>
          </w:p>
        </w:tc>
      </w:tr>
    </w:tbl>
    <w:p w:rsidR="00C57C0D" w:rsidRDefault="009C7A6F" w:rsidP="00C57C0D">
      <w:pPr>
        <w:pStyle w:val="ListParagraph"/>
        <w:numPr>
          <w:ilvl w:val="0"/>
          <w:numId w:val="14"/>
        </w:numPr>
        <w:spacing w:before="120" w:after="120" w:line="240" w:lineRule="auto"/>
        <w:rPr>
          <w:rFonts w:ascii="Times New Roman" w:hAnsi="Times New Roman"/>
          <w:sz w:val="24"/>
          <w:lang w:val="es-ES"/>
        </w:rPr>
      </w:pPr>
      <w:r w:rsidRPr="009C7A6F">
        <w:rPr>
          <w:rFonts w:ascii="Times New Roman" w:hAnsi="Times New Roman"/>
          <w:b/>
          <w:sz w:val="24"/>
          <w:lang w:val="es-ES"/>
        </w:rPr>
        <w:t>¿Bajo qué circunstancias las renovaciones de las licencias de rentas internas pueden ser denegadas?</w:t>
      </w:r>
      <w:r>
        <w:rPr>
          <w:rFonts w:ascii="Times New Roman" w:hAnsi="Times New Roman"/>
          <w:sz w:val="24"/>
          <w:lang w:val="es-ES"/>
        </w:rPr>
        <w:t xml:space="preserve"> La renovación de la licencia puede ser denegada si al verificar en el sistema del Departamento de Hacienda la persona </w:t>
      </w:r>
      <w:r w:rsidR="00C57C0D">
        <w:rPr>
          <w:rFonts w:ascii="Times New Roman" w:hAnsi="Times New Roman"/>
          <w:sz w:val="24"/>
          <w:lang w:val="es-ES"/>
        </w:rPr>
        <w:t>está</w:t>
      </w:r>
      <w:r>
        <w:rPr>
          <w:rFonts w:ascii="Times New Roman" w:hAnsi="Times New Roman"/>
          <w:sz w:val="24"/>
          <w:lang w:val="es-ES"/>
        </w:rPr>
        <w:t xml:space="preserve"> en incumplimiento con alguno de los requisitos.</w:t>
      </w:r>
      <w:r w:rsidR="00C57C0D">
        <w:rPr>
          <w:rFonts w:ascii="Times New Roman" w:hAnsi="Times New Roman"/>
          <w:sz w:val="24"/>
          <w:lang w:val="es-ES"/>
        </w:rPr>
        <w:t xml:space="preserve"> Entiéndase como requisito los siguientes:</w:t>
      </w:r>
    </w:p>
    <w:p w:rsidR="00C57C0D" w:rsidRPr="00C57C0D" w:rsidRDefault="00C57C0D" w:rsidP="00C57C0D">
      <w:pPr>
        <w:pStyle w:val="ListParagraph"/>
        <w:numPr>
          <w:ilvl w:val="0"/>
          <w:numId w:val="17"/>
        </w:numPr>
        <w:spacing w:before="120" w:after="120" w:line="240" w:lineRule="auto"/>
        <w:rPr>
          <w:rFonts w:ascii="Times New Roman" w:hAnsi="Times New Roman"/>
          <w:sz w:val="24"/>
          <w:lang w:val="es-ES"/>
        </w:rPr>
      </w:pPr>
      <w:r w:rsidRPr="00C57C0D">
        <w:rPr>
          <w:rFonts w:ascii="Times New Roman" w:eastAsia="Times New Roman" w:hAnsi="Times New Roman"/>
          <w:sz w:val="24"/>
          <w:szCs w:val="24"/>
          <w:lang w:val="es-ES"/>
        </w:rPr>
        <w:t>Radicación de Planillas ante el Departamento de Hacienda</w:t>
      </w:r>
    </w:p>
    <w:p w:rsidR="00C57C0D" w:rsidRPr="00C57C0D" w:rsidRDefault="00C57C0D" w:rsidP="00C57C0D">
      <w:pPr>
        <w:pStyle w:val="ListParagraph"/>
        <w:numPr>
          <w:ilvl w:val="0"/>
          <w:numId w:val="17"/>
        </w:numPr>
        <w:spacing w:before="120" w:after="120" w:line="240" w:lineRule="auto"/>
        <w:rPr>
          <w:rFonts w:ascii="Times New Roman" w:hAnsi="Times New Roman"/>
          <w:sz w:val="24"/>
          <w:lang w:val="es-ES"/>
        </w:rPr>
      </w:pPr>
      <w:r w:rsidRPr="00C57C0D">
        <w:rPr>
          <w:rFonts w:ascii="Times New Roman" w:eastAsia="Times New Roman" w:hAnsi="Times New Roman"/>
          <w:sz w:val="24"/>
          <w:szCs w:val="24"/>
          <w:lang w:val="es-ES"/>
        </w:rPr>
        <w:t>Deudas ante el Departamento de Hacienda</w:t>
      </w:r>
    </w:p>
    <w:p w:rsidR="00C57C0D" w:rsidRPr="00C57C0D" w:rsidRDefault="00C57C0D" w:rsidP="00C57C0D">
      <w:pPr>
        <w:pStyle w:val="ListParagraph"/>
        <w:numPr>
          <w:ilvl w:val="0"/>
          <w:numId w:val="17"/>
        </w:numPr>
        <w:spacing w:before="120" w:after="120" w:line="240" w:lineRule="auto"/>
        <w:rPr>
          <w:rFonts w:ascii="Times New Roman" w:hAnsi="Times New Roman"/>
          <w:sz w:val="24"/>
          <w:lang w:val="es-ES"/>
        </w:rPr>
      </w:pPr>
      <w:r w:rsidRPr="00C57C0D">
        <w:rPr>
          <w:rFonts w:ascii="Times New Roman" w:eastAsia="Times New Roman" w:hAnsi="Times New Roman"/>
          <w:sz w:val="24"/>
          <w:szCs w:val="24"/>
          <w:lang w:val="es-ES"/>
        </w:rPr>
        <w:t>Deudas ante la Administración para el Sustento de Menores (ASUME)</w:t>
      </w:r>
    </w:p>
    <w:p w:rsidR="00210061" w:rsidRPr="009C7A6F" w:rsidRDefault="00210061" w:rsidP="00C57C0D">
      <w:pPr>
        <w:pStyle w:val="ListParagraph"/>
        <w:spacing w:before="120" w:after="120" w:line="240" w:lineRule="auto"/>
        <w:rPr>
          <w:rFonts w:ascii="Times New Roman" w:hAnsi="Times New Roman"/>
          <w:sz w:val="24"/>
          <w:lang w:val="es-ES"/>
        </w:rPr>
      </w:pPr>
    </w:p>
    <w:p w:rsidR="00210061" w:rsidRPr="00FE5C15" w:rsidRDefault="00210061" w:rsidP="00FE5C15">
      <w:pPr>
        <w:spacing w:before="120" w:after="100" w:afterAutospacing="1" w:line="240" w:lineRule="auto"/>
        <w:rPr>
          <w:rFonts w:ascii="Times New Roman" w:eastAsia="Times New Roman" w:hAnsi="Times New Roman"/>
          <w:sz w:val="24"/>
          <w:szCs w:val="24"/>
          <w:lang w:val="es-ES"/>
        </w:rPr>
      </w:pPr>
    </w:p>
    <w:p w:rsidR="00CD5B06" w:rsidRPr="00951948" w:rsidRDefault="00CD5B06" w:rsidP="00CD5B06">
      <w:pPr>
        <w:spacing w:after="0" w:line="120" w:lineRule="auto"/>
        <w:rPr>
          <w:rFonts w:ascii="Times New Roman" w:hAnsi="Times New Roman"/>
          <w:b/>
          <w:sz w:val="28"/>
          <w:szCs w:val="28"/>
          <w:lang w:val="es-ES"/>
        </w:rPr>
      </w:pPr>
    </w:p>
    <w:p w:rsidR="00F9136E" w:rsidRPr="00CD5B06" w:rsidRDefault="003C2027">
      <w:pPr>
        <w:rPr>
          <w:lang w:val="es-PR"/>
        </w:rPr>
      </w:pPr>
    </w:p>
    <w:sectPr w:rsidR="00F9136E" w:rsidRPr="00CD5B06" w:rsidSect="00B80B8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06" w:rsidRDefault="00CD5B06" w:rsidP="00CD5B06">
      <w:pPr>
        <w:spacing w:after="0" w:line="240" w:lineRule="auto"/>
      </w:pPr>
      <w:r>
        <w:separator/>
      </w:r>
    </w:p>
  </w:endnote>
  <w:endnote w:type="continuationSeparator" w:id="0">
    <w:p w:rsidR="00CD5B06" w:rsidRDefault="00CD5B06" w:rsidP="00CD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AF" w:rsidRDefault="00256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ED6173" w:rsidRPr="00A50AC6">
      <w:tc>
        <w:tcPr>
          <w:tcW w:w="918" w:type="dxa"/>
        </w:tcPr>
        <w:p w:rsidR="00ED6173" w:rsidRPr="00ED6173" w:rsidRDefault="00ED6173">
          <w:pPr>
            <w:pStyle w:val="Footer"/>
            <w:jc w:val="right"/>
            <w:rPr>
              <w:rFonts w:ascii="Times New Roman" w:hAnsi="Times New Roman"/>
              <w:b/>
              <w:sz w:val="24"/>
              <w:szCs w:val="24"/>
            </w:rPr>
          </w:pPr>
          <w:r w:rsidRPr="00ED6173">
            <w:rPr>
              <w:rFonts w:ascii="Times New Roman" w:hAnsi="Times New Roman"/>
              <w:noProof/>
              <w:sz w:val="24"/>
              <w:szCs w:val="24"/>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FC0700" w:rsidRPr="00ED6173">
            <w:rPr>
              <w:rFonts w:ascii="Times New Roman" w:hAnsi="Times New Roman"/>
              <w:sz w:val="24"/>
              <w:szCs w:val="24"/>
            </w:rPr>
            <w:fldChar w:fldCharType="begin"/>
          </w:r>
          <w:r w:rsidRPr="00ED6173">
            <w:rPr>
              <w:rFonts w:ascii="Times New Roman" w:hAnsi="Times New Roman"/>
              <w:sz w:val="24"/>
              <w:szCs w:val="24"/>
            </w:rPr>
            <w:instrText xml:space="preserve"> PAGE   \* MERGEFORMAT </w:instrText>
          </w:r>
          <w:r w:rsidR="00FC0700" w:rsidRPr="00ED6173">
            <w:rPr>
              <w:rFonts w:ascii="Times New Roman" w:hAnsi="Times New Roman"/>
              <w:sz w:val="24"/>
              <w:szCs w:val="24"/>
            </w:rPr>
            <w:fldChar w:fldCharType="separate"/>
          </w:r>
          <w:r w:rsidR="003C2027" w:rsidRPr="003C2027">
            <w:rPr>
              <w:rFonts w:ascii="Times New Roman" w:hAnsi="Times New Roman"/>
              <w:b/>
              <w:noProof/>
              <w:sz w:val="24"/>
              <w:szCs w:val="24"/>
            </w:rPr>
            <w:t>4</w:t>
          </w:r>
          <w:r w:rsidR="00FC0700" w:rsidRPr="00ED6173">
            <w:rPr>
              <w:rFonts w:ascii="Times New Roman" w:hAnsi="Times New Roman"/>
              <w:sz w:val="24"/>
              <w:szCs w:val="24"/>
            </w:rPr>
            <w:fldChar w:fldCharType="end"/>
          </w:r>
        </w:p>
      </w:tc>
      <w:tc>
        <w:tcPr>
          <w:tcW w:w="7938" w:type="dxa"/>
        </w:tcPr>
        <w:p w:rsidR="00ED6173" w:rsidRDefault="00ED6173" w:rsidP="00ED6173">
          <w:pPr>
            <w:pStyle w:val="Footer"/>
            <w:jc w:val="center"/>
            <w:rPr>
              <w:rFonts w:ascii="Times New Roman" w:hAnsi="Times New Roman"/>
              <w:sz w:val="16"/>
              <w:szCs w:val="16"/>
              <w:lang w:val="es-PR"/>
            </w:rPr>
          </w:pPr>
        </w:p>
        <w:p w:rsidR="00ED6173" w:rsidRDefault="00ED6173" w:rsidP="00ED6173">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ED6173" w:rsidRDefault="00ED6173" w:rsidP="00ED6173">
          <w:pPr>
            <w:pStyle w:val="Footer"/>
            <w:jc w:val="center"/>
            <w:rPr>
              <w:rFonts w:ascii="Times New Roman" w:hAnsi="Times New Roman"/>
              <w:sz w:val="16"/>
              <w:szCs w:val="16"/>
              <w:lang w:val="es-PR"/>
            </w:rPr>
          </w:pPr>
        </w:p>
        <w:p w:rsidR="00ED6173" w:rsidRPr="00ED6173" w:rsidRDefault="00ED6173" w:rsidP="00ED6173">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ED6173" w:rsidRPr="00ED6173" w:rsidRDefault="00ED6173">
    <w:pPr>
      <w:pStyle w:val="Footer"/>
      <w:rPr>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AF" w:rsidRDefault="00256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06" w:rsidRDefault="00CD5B06" w:rsidP="00CD5B06">
      <w:pPr>
        <w:spacing w:after="0" w:line="240" w:lineRule="auto"/>
      </w:pPr>
      <w:r>
        <w:separator/>
      </w:r>
    </w:p>
  </w:footnote>
  <w:footnote w:type="continuationSeparator" w:id="0">
    <w:p w:rsidR="00CD5B06" w:rsidRDefault="00CD5B06" w:rsidP="00CD5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AF" w:rsidRDefault="00256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16"/>
      <w:gridCol w:w="1274"/>
    </w:tblGrid>
    <w:tr w:rsidR="00CD5B06" w:rsidRPr="00A50AC6">
      <w:trPr>
        <w:trHeight w:val="288"/>
      </w:trPr>
      <w:tc>
        <w:tcPr>
          <w:tcW w:w="7765" w:type="dxa"/>
        </w:tcPr>
        <w:p w:rsidR="00256EAF" w:rsidRDefault="00CD5B06" w:rsidP="00CD5B06">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256EAF">
            <w:rPr>
              <w:rFonts w:ascii="Times New Roman" w:hAnsi="Times New Roman"/>
              <w:sz w:val="32"/>
              <w:szCs w:val="32"/>
              <w:lang w:val="es-PR"/>
            </w:rPr>
            <w:t>mento de Hacienda</w:t>
          </w:r>
        </w:p>
        <w:p w:rsidR="00CD5B06" w:rsidRPr="00446DFA" w:rsidRDefault="00CD5B06" w:rsidP="00CD5B06">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CD5B06" w:rsidRPr="00446DFA" w:rsidRDefault="00CD5B06" w:rsidP="00CD5B06">
          <w:pPr>
            <w:spacing w:after="0" w:line="240" w:lineRule="auto"/>
            <w:rPr>
              <w:rFonts w:ascii="Times New Roman" w:hAnsi="Times New Roman"/>
              <w:sz w:val="28"/>
              <w:szCs w:val="28"/>
              <w:lang w:val="es-PR"/>
            </w:rPr>
          </w:pPr>
          <w:r>
            <w:rPr>
              <w:rFonts w:ascii="Times New Roman" w:hAnsi="Times New Roman"/>
              <w:sz w:val="28"/>
              <w:szCs w:val="28"/>
              <w:lang w:val="es-PR"/>
            </w:rPr>
            <w:t>Negociado de Impuesto al Consumo</w:t>
          </w:r>
        </w:p>
        <w:p w:rsidR="00CD5B06" w:rsidRPr="00CD5B06" w:rsidRDefault="00ED6173" w:rsidP="00CD5B06">
          <w:pPr>
            <w:pStyle w:val="Header"/>
            <w:rPr>
              <w:rFonts w:asciiTheme="majorHAnsi" w:eastAsiaTheme="majorEastAsia" w:hAnsiTheme="majorHAnsi" w:cstheme="majorBidi"/>
              <w:sz w:val="36"/>
              <w:szCs w:val="36"/>
              <w:lang w:val="es-PR"/>
            </w:rPr>
          </w:pPr>
          <w:bookmarkStart w:id="1" w:name="OLE_LINK1"/>
          <w:bookmarkStart w:id="2" w:name="OLE_LINK2"/>
          <w:r>
            <w:rPr>
              <w:rFonts w:ascii="Times New Roman" w:hAnsi="Times New Roman"/>
              <w:b/>
              <w:sz w:val="28"/>
              <w:szCs w:val="28"/>
              <w:lang w:val="es-PR"/>
            </w:rPr>
            <w:t>Renovacio</w:t>
          </w:r>
          <w:r w:rsidR="00CD5B06">
            <w:rPr>
              <w:rFonts w:ascii="Times New Roman" w:hAnsi="Times New Roman"/>
              <w:b/>
              <w:sz w:val="28"/>
              <w:szCs w:val="28"/>
              <w:lang w:val="es-PR"/>
            </w:rPr>
            <w:t>n de Licencias de Rentas Internas</w:t>
          </w:r>
          <w:bookmarkEnd w:id="1"/>
          <w:bookmarkEnd w:id="2"/>
        </w:p>
      </w:tc>
      <w:tc>
        <w:tcPr>
          <w:tcW w:w="1105" w:type="dxa"/>
        </w:tcPr>
        <w:p w:rsidR="00CD5B06" w:rsidRDefault="00CD5B06" w:rsidP="00CD5B06">
          <w:pPr>
            <w:pStyle w:val="Header"/>
            <w:rPr>
              <w:rFonts w:asciiTheme="majorHAnsi" w:eastAsiaTheme="majorEastAsia" w:hAnsiTheme="majorHAnsi" w:cstheme="majorBidi"/>
              <w:b/>
              <w:bCs/>
              <w:color w:val="4F81BD" w:themeColor="accent1"/>
              <w:sz w:val="36"/>
              <w:szCs w:val="36"/>
              <w:lang w:val="es-PR"/>
            </w:rPr>
          </w:pPr>
        </w:p>
        <w:p w:rsidR="00CD5B06" w:rsidRPr="00CD5B06" w:rsidRDefault="003C2027" w:rsidP="00CD5B06">
          <w:pPr>
            <w:tabs>
              <w:tab w:val="left" w:pos="960"/>
            </w:tabs>
            <w:rPr>
              <w:lang w:val="es-PR"/>
            </w:rPr>
          </w:pPr>
          <w:r>
            <w:rPr>
              <w:rFonts w:asciiTheme="majorHAnsi" w:eastAsiaTheme="majorEastAsia" w:hAnsiTheme="majorHAnsi" w:cstheme="majorBidi"/>
              <w:b/>
              <w:bCs/>
              <w:noProof/>
              <w:color w:val="4F81BD" w:themeColor="accent1"/>
              <w:sz w:val="36"/>
              <w:szCs w:val="36"/>
            </w:rPr>
            <w:pict>
              <v:shapetype id="_x0000_t202" coordsize="21600,21600" o:spt="202" path="m,l,21600r21600,l21600,xe">
                <v:stroke joinstyle="miter"/>
                <v:path gradientshapeok="t" o:connecttype="rect"/>
              </v:shapetype>
              <v:shape id="Text Box 1" o:spid="_x0000_s2049" type="#_x0000_t202" style="position:absolute;margin-left:-2.55pt;margin-top:17pt;width:87.35pt;height:30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CD5B06" w:rsidRPr="00446DFA" w:rsidRDefault="002E4303" w:rsidP="00CD5B06">
                      <w:pPr>
                        <w:spacing w:after="0" w:line="240" w:lineRule="auto"/>
                        <w:jc w:val="center"/>
                        <w:rPr>
                          <w:rFonts w:ascii="Times New Roman" w:hAnsi="Times New Roman"/>
                          <w:sz w:val="16"/>
                          <w:szCs w:val="16"/>
                          <w:lang w:val="es-PR"/>
                        </w:rPr>
                      </w:pPr>
                      <w:r>
                        <w:rPr>
                          <w:rFonts w:ascii="Times New Roman" w:hAnsi="Times New Roman"/>
                          <w:sz w:val="16"/>
                          <w:szCs w:val="16"/>
                          <w:lang w:val="es-PR"/>
                        </w:rPr>
                        <w:t>NIC-044</w:t>
                      </w:r>
                    </w:p>
                    <w:p w:rsidR="00CD5B06" w:rsidRPr="002608D6" w:rsidRDefault="00256EAF" w:rsidP="00CD5B06">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18-ago</w:t>
                      </w:r>
                      <w:r w:rsidR="00CD5B06" w:rsidRPr="00446DFA">
                        <w:rPr>
                          <w:rFonts w:ascii="Times New Roman" w:hAnsi="Times New Roman"/>
                          <w:sz w:val="16"/>
                          <w:szCs w:val="16"/>
                          <w:lang w:val="es-PR"/>
                        </w:rPr>
                        <w:t>-15</w:t>
                      </w:r>
                    </w:p>
                  </w:txbxContent>
                </v:textbox>
              </v:shape>
            </w:pict>
          </w:r>
          <w:r w:rsidR="00CD5B06">
            <w:rPr>
              <w:lang w:val="es-PR"/>
            </w:rPr>
            <w:tab/>
          </w:r>
        </w:p>
      </w:tc>
    </w:tr>
  </w:tbl>
  <w:p w:rsidR="00CD5B06" w:rsidRPr="00CD5B06" w:rsidRDefault="00CD5B06">
    <w:pPr>
      <w:pStyle w:val="Header"/>
      <w:rPr>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AF" w:rsidRDefault="00256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42B4E"/>
    <w:multiLevelType w:val="hybridMultilevel"/>
    <w:tmpl w:val="ABA44C26"/>
    <w:lvl w:ilvl="0" w:tplc="BB8698DA">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BA33CC"/>
    <w:multiLevelType w:val="hybridMultilevel"/>
    <w:tmpl w:val="5D9213AC"/>
    <w:lvl w:ilvl="0" w:tplc="09C08A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A6F22"/>
    <w:multiLevelType w:val="hybridMultilevel"/>
    <w:tmpl w:val="76703880"/>
    <w:lvl w:ilvl="0" w:tplc="FB6874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912D8"/>
    <w:multiLevelType w:val="hybridMultilevel"/>
    <w:tmpl w:val="392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27DAB"/>
    <w:multiLevelType w:val="hybridMultilevel"/>
    <w:tmpl w:val="A322DBD0"/>
    <w:lvl w:ilvl="0" w:tplc="4BCC4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0383870"/>
    <w:multiLevelType w:val="hybridMultilevel"/>
    <w:tmpl w:val="136423E0"/>
    <w:lvl w:ilvl="0" w:tplc="C416FA74">
      <w:start w:val="1"/>
      <w:numFmt w:val="bullet"/>
      <w:lvlText w:val=""/>
      <w:lvlJc w:val="left"/>
      <w:pPr>
        <w:ind w:left="1620" w:hanging="360"/>
      </w:pPr>
      <w:rPr>
        <w:rFonts w:ascii="Symbol" w:hAnsi="Symbol" w:hint="default"/>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7BE6B85"/>
    <w:multiLevelType w:val="multilevel"/>
    <w:tmpl w:val="21CCF436"/>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C02FB"/>
    <w:multiLevelType w:val="hybridMultilevel"/>
    <w:tmpl w:val="0AD87A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C0641"/>
    <w:multiLevelType w:val="hybridMultilevel"/>
    <w:tmpl w:val="3FE21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78433C"/>
    <w:multiLevelType w:val="hybridMultilevel"/>
    <w:tmpl w:val="3C72318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6BEC14E0"/>
    <w:multiLevelType w:val="hybridMultilevel"/>
    <w:tmpl w:val="05DAE73A"/>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35C58EC"/>
    <w:multiLevelType w:val="hybridMultilevel"/>
    <w:tmpl w:val="5F2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F4E8A"/>
    <w:multiLevelType w:val="hybridMultilevel"/>
    <w:tmpl w:val="3428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B668D"/>
    <w:multiLevelType w:val="hybridMultilevel"/>
    <w:tmpl w:val="9F5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63047"/>
    <w:multiLevelType w:val="hybridMultilevel"/>
    <w:tmpl w:val="0EC032F4"/>
    <w:lvl w:ilvl="0" w:tplc="2B5A6E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5"/>
  </w:num>
  <w:num w:numId="4">
    <w:abstractNumId w:val="1"/>
  </w:num>
  <w:num w:numId="5">
    <w:abstractNumId w:val="6"/>
  </w:num>
  <w:num w:numId="6">
    <w:abstractNumId w:val="0"/>
  </w:num>
  <w:num w:numId="7">
    <w:abstractNumId w:val="7"/>
  </w:num>
  <w:num w:numId="8">
    <w:abstractNumId w:val="12"/>
  </w:num>
  <w:num w:numId="9">
    <w:abstractNumId w:val="3"/>
  </w:num>
  <w:num w:numId="10">
    <w:abstractNumId w:val="16"/>
  </w:num>
  <w:num w:numId="11">
    <w:abstractNumId w:val="2"/>
  </w:num>
  <w:num w:numId="12">
    <w:abstractNumId w:val="5"/>
  </w:num>
  <w:num w:numId="13">
    <w:abstractNumId w:val="8"/>
  </w:num>
  <w:num w:numId="14">
    <w:abstractNumId w:val="14"/>
  </w:num>
  <w:num w:numId="15">
    <w:abstractNumId w:val="11"/>
  </w:num>
  <w:num w:numId="16">
    <w:abstractNumId w:val="1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5B06"/>
    <w:rsid w:val="00006F28"/>
    <w:rsid w:val="00084F4C"/>
    <w:rsid w:val="000A6E1F"/>
    <w:rsid w:val="000B2F75"/>
    <w:rsid w:val="001606F4"/>
    <w:rsid w:val="001E4E77"/>
    <w:rsid w:val="001E5732"/>
    <w:rsid w:val="00210061"/>
    <w:rsid w:val="00256EAF"/>
    <w:rsid w:val="00261F71"/>
    <w:rsid w:val="002867E8"/>
    <w:rsid w:val="002E4303"/>
    <w:rsid w:val="00317641"/>
    <w:rsid w:val="003C2027"/>
    <w:rsid w:val="003C224A"/>
    <w:rsid w:val="003C6A49"/>
    <w:rsid w:val="003D3B86"/>
    <w:rsid w:val="004133BB"/>
    <w:rsid w:val="0053216D"/>
    <w:rsid w:val="0062602F"/>
    <w:rsid w:val="0065443E"/>
    <w:rsid w:val="006C7905"/>
    <w:rsid w:val="0070473B"/>
    <w:rsid w:val="007D6573"/>
    <w:rsid w:val="0080027F"/>
    <w:rsid w:val="00876180"/>
    <w:rsid w:val="00885D49"/>
    <w:rsid w:val="008D0BBC"/>
    <w:rsid w:val="00951948"/>
    <w:rsid w:val="009853F4"/>
    <w:rsid w:val="009C7A6F"/>
    <w:rsid w:val="00A50AC6"/>
    <w:rsid w:val="00A9525D"/>
    <w:rsid w:val="00AA1108"/>
    <w:rsid w:val="00AB1D90"/>
    <w:rsid w:val="00B80B8A"/>
    <w:rsid w:val="00BC15B7"/>
    <w:rsid w:val="00BC5899"/>
    <w:rsid w:val="00C57C0D"/>
    <w:rsid w:val="00CD5B06"/>
    <w:rsid w:val="00CE690C"/>
    <w:rsid w:val="00D3463A"/>
    <w:rsid w:val="00D61366"/>
    <w:rsid w:val="00E06160"/>
    <w:rsid w:val="00E55DCB"/>
    <w:rsid w:val="00ED6173"/>
    <w:rsid w:val="00F35F39"/>
    <w:rsid w:val="00F85AA1"/>
    <w:rsid w:val="00FA67A2"/>
    <w:rsid w:val="00FC0700"/>
    <w:rsid w:val="00FE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C180A4E-1CC9-4DBB-B398-503F6408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06"/>
    <w:rPr>
      <w:rFonts w:ascii="Calibri" w:eastAsia="Calibri" w:hAnsi="Calibri" w:cs="Times New Roman"/>
    </w:rPr>
  </w:style>
  <w:style w:type="paragraph" w:styleId="Heading2">
    <w:name w:val="heading 2"/>
    <w:basedOn w:val="Normal"/>
    <w:next w:val="Normal"/>
    <w:link w:val="Heading2Char"/>
    <w:uiPriority w:val="9"/>
    <w:unhideWhenUsed/>
    <w:qFormat/>
    <w:rsid w:val="000B2F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06"/>
    <w:rPr>
      <w:rFonts w:ascii="Calibri" w:eastAsia="Calibri" w:hAnsi="Calibri" w:cs="Times New Roman"/>
    </w:rPr>
  </w:style>
  <w:style w:type="paragraph" w:styleId="Footer">
    <w:name w:val="footer"/>
    <w:basedOn w:val="Normal"/>
    <w:link w:val="FooterChar"/>
    <w:uiPriority w:val="99"/>
    <w:unhideWhenUsed/>
    <w:rsid w:val="00CD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06"/>
    <w:rPr>
      <w:rFonts w:ascii="Calibri" w:eastAsia="Calibri" w:hAnsi="Calibri" w:cs="Times New Roman"/>
    </w:rPr>
  </w:style>
  <w:style w:type="paragraph" w:styleId="BalloonText">
    <w:name w:val="Balloon Text"/>
    <w:basedOn w:val="Normal"/>
    <w:link w:val="BalloonTextChar"/>
    <w:uiPriority w:val="99"/>
    <w:semiHidden/>
    <w:unhideWhenUsed/>
    <w:rsid w:val="00CD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06"/>
    <w:rPr>
      <w:rFonts w:ascii="Tahoma" w:eastAsia="Calibri" w:hAnsi="Tahoma" w:cs="Tahoma"/>
      <w:sz w:val="16"/>
      <w:szCs w:val="16"/>
    </w:rPr>
  </w:style>
  <w:style w:type="paragraph" w:styleId="NormalWeb">
    <w:name w:val="Normal (Web)"/>
    <w:basedOn w:val="Normal"/>
    <w:uiPriority w:val="99"/>
    <w:unhideWhenUsed/>
    <w:rsid w:val="0095194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1948"/>
    <w:rPr>
      <w:color w:val="0000FF"/>
      <w:u w:val="single"/>
    </w:rPr>
  </w:style>
  <w:style w:type="paragraph" w:styleId="ListParagraph">
    <w:name w:val="List Paragraph"/>
    <w:basedOn w:val="Normal"/>
    <w:uiPriority w:val="34"/>
    <w:qFormat/>
    <w:rsid w:val="00951948"/>
    <w:pPr>
      <w:ind w:left="720"/>
      <w:contextualSpacing/>
    </w:pPr>
  </w:style>
  <w:style w:type="table" w:styleId="TableGrid">
    <w:name w:val="Table Grid"/>
    <w:basedOn w:val="TableNormal"/>
    <w:uiPriority w:val="59"/>
    <w:rsid w:val="00FE5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FE5C1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0B2F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49245">
      <w:bodyDiv w:val="1"/>
      <w:marLeft w:val="0"/>
      <w:marRight w:val="0"/>
      <w:marTop w:val="0"/>
      <w:marBottom w:val="0"/>
      <w:divBdr>
        <w:top w:val="none" w:sz="0" w:space="0" w:color="auto"/>
        <w:left w:val="none" w:sz="0" w:space="0" w:color="auto"/>
        <w:bottom w:val="none" w:sz="0" w:space="0" w:color="auto"/>
        <w:right w:val="none" w:sz="0" w:space="0" w:color="auto"/>
      </w:divBdr>
      <w:divsChild>
        <w:div w:id="1565143124">
          <w:marLeft w:val="0"/>
          <w:marRight w:val="0"/>
          <w:marTop w:val="0"/>
          <w:marBottom w:val="0"/>
          <w:divBdr>
            <w:top w:val="none" w:sz="0" w:space="0" w:color="auto"/>
            <w:left w:val="none" w:sz="0" w:space="0" w:color="auto"/>
            <w:bottom w:val="none" w:sz="0" w:space="0" w:color="auto"/>
            <w:right w:val="none" w:sz="0" w:space="0" w:color="auto"/>
          </w:divBdr>
          <w:divsChild>
            <w:div w:id="1557350467">
              <w:marLeft w:val="0"/>
              <w:marRight w:val="0"/>
              <w:marTop w:val="0"/>
              <w:marBottom w:val="0"/>
              <w:divBdr>
                <w:top w:val="none" w:sz="0" w:space="0" w:color="auto"/>
                <w:left w:val="none" w:sz="0" w:space="0" w:color="auto"/>
                <w:bottom w:val="none" w:sz="0" w:space="0" w:color="auto"/>
                <w:right w:val="none" w:sz="0" w:space="0" w:color="auto"/>
              </w:divBdr>
              <w:divsChild>
                <w:div w:id="966206185">
                  <w:marLeft w:val="0"/>
                  <w:marRight w:val="0"/>
                  <w:marTop w:val="0"/>
                  <w:marBottom w:val="0"/>
                  <w:divBdr>
                    <w:top w:val="none" w:sz="0" w:space="0" w:color="auto"/>
                    <w:left w:val="none" w:sz="0" w:space="0" w:color="auto"/>
                    <w:bottom w:val="none" w:sz="0" w:space="0" w:color="auto"/>
                    <w:right w:val="none" w:sz="0" w:space="0" w:color="auto"/>
                  </w:divBdr>
                  <w:divsChild>
                    <w:div w:id="1138302002">
                      <w:marLeft w:val="0"/>
                      <w:marRight w:val="0"/>
                      <w:marTop w:val="0"/>
                      <w:marBottom w:val="0"/>
                      <w:divBdr>
                        <w:top w:val="none" w:sz="0" w:space="0" w:color="auto"/>
                        <w:left w:val="none" w:sz="0" w:space="0" w:color="auto"/>
                        <w:bottom w:val="none" w:sz="0" w:space="0" w:color="auto"/>
                        <w:right w:val="none" w:sz="0" w:space="0" w:color="auto"/>
                      </w:divBdr>
                      <w:divsChild>
                        <w:div w:id="1278024751">
                          <w:marLeft w:val="0"/>
                          <w:marRight w:val="0"/>
                          <w:marTop w:val="0"/>
                          <w:marBottom w:val="0"/>
                          <w:divBdr>
                            <w:top w:val="none" w:sz="0" w:space="0" w:color="auto"/>
                            <w:left w:val="none" w:sz="0" w:space="0" w:color="auto"/>
                            <w:bottom w:val="none" w:sz="0" w:space="0" w:color="auto"/>
                            <w:right w:val="none" w:sz="0" w:space="0" w:color="auto"/>
                          </w:divBdr>
                          <w:divsChild>
                            <w:div w:id="2051419598">
                              <w:marLeft w:val="0"/>
                              <w:marRight w:val="0"/>
                              <w:marTop w:val="0"/>
                              <w:marBottom w:val="0"/>
                              <w:divBdr>
                                <w:top w:val="none" w:sz="0" w:space="0" w:color="auto"/>
                                <w:left w:val="none" w:sz="0" w:space="0" w:color="auto"/>
                                <w:bottom w:val="none" w:sz="0" w:space="0" w:color="auto"/>
                                <w:right w:val="none" w:sz="0" w:space="0" w:color="auto"/>
                              </w:divBdr>
                              <w:divsChild>
                                <w:div w:id="18879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hacienda.gobierno.pr/sobre-hacienda/servicios-al-contribuyente/procurador-del-contribuyente/contact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hacienda.gobierno.pr/sobre-hacienda/servicios-al-contribuyente/centros-de-servicios" TargetMode="External"/><Relationship Id="rId20" Type="http://schemas.openxmlformats.org/officeDocument/2006/relationships/image" Target="media/image8.jpe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ciendarespondekb.respondcrm.com/HaciendaDocs/Codigo%20de%20Rentas%20Internas%2011-19-2014/Codigo%20de%20Rentas%20Internas%2011-19-2014.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acienda.gobierno.pr/sobre-hacienda/servicios-al-contribuyente/distritos-de-cobr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hacienda.gobierno.pr/"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acienda.gobierno.pr/sobre-hacienda/servicios-al-contribuyente/directorio-de-colecturias?field_colecturias_distritos_value=SanJuan"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3</Classification>
  </documentManagement>
</p:properties>
</file>

<file path=customXml/itemProps1.xml><?xml version="1.0" encoding="utf-8"?>
<ds:datastoreItem xmlns:ds="http://schemas.openxmlformats.org/officeDocument/2006/customXml" ds:itemID="{D2042B0B-4632-46CE-8999-790300D11ACB}"/>
</file>

<file path=customXml/itemProps2.xml><?xml version="1.0" encoding="utf-8"?>
<ds:datastoreItem xmlns:ds="http://schemas.openxmlformats.org/officeDocument/2006/customXml" ds:itemID="{F8A55214-9436-4542-9CAA-235D2A45CD82}"/>
</file>

<file path=customXml/itemProps3.xml><?xml version="1.0" encoding="utf-8"?>
<ds:datastoreItem xmlns:ds="http://schemas.openxmlformats.org/officeDocument/2006/customXml" ds:itemID="{19A2E330-B962-4AEB-906F-861694AA9D78}"/>
</file>

<file path=docProps/app.xml><?xml version="1.0" encoding="utf-8"?>
<Properties xmlns="http://schemas.openxmlformats.org/officeDocument/2006/extended-properties" xmlns:vt="http://schemas.openxmlformats.org/officeDocument/2006/docPropsVTypes">
  <Template>Normal.dotm</Template>
  <TotalTime>366</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Area de Rentas Internas</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Renovacion de Licencias de Rentas Internas</dc:title>
  <dc:subject>Informacion</dc:subject>
  <dc:creator>Amilcar Canales Domenech</dc:creator>
  <cp:keywords>NIC</cp:keywords>
  <dc:description/>
  <cp:lastModifiedBy>Neftalí Rivera Ortiz</cp:lastModifiedBy>
  <cp:revision>17</cp:revision>
  <cp:lastPrinted>2015-08-20T20:16:00Z</cp:lastPrinted>
  <dcterms:created xsi:type="dcterms:W3CDTF">2015-06-10T12:35:00Z</dcterms:created>
  <dcterms:modified xsi:type="dcterms:W3CDTF">2015-09-29T22:37:00Z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