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AC1C36" w:rsidRPr="001E6981" w:rsidTr="003A6E24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C1C36" w:rsidRPr="001E6981" w:rsidRDefault="00AC1C36" w:rsidP="003A6E24">
            <w:pPr>
              <w:pStyle w:val="NormalWeb"/>
              <w:spacing w:after="0" w:afterAutospacing="0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5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AC1C36" w:rsidRPr="001E6981" w:rsidRDefault="00AC1C36" w:rsidP="003A6E24">
            <w:pPr>
              <w:spacing w:before="100" w:beforeAutospacing="1"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sobre el s</w:t>
            </w: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AC1C36" w:rsidRDefault="00AC1C36" w:rsidP="00AC1C36">
      <w:pPr>
        <w:pStyle w:val="Heading1"/>
        <w:numPr>
          <w:ilvl w:val="0"/>
          <w:numId w:val="30"/>
        </w:numPr>
        <w:spacing w:before="12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215B3">
        <w:rPr>
          <w:rFonts w:ascii="Times New Roman" w:hAnsi="Times New Roman" w:cs="Times New Roman"/>
          <w:b w:val="0"/>
          <w:sz w:val="24"/>
          <w:szCs w:val="24"/>
          <w:lang w:val="es-ES"/>
        </w:rPr>
        <w:t>Instrumento para asegurar el cobro de una deuda contributiva, cuando el contribuyente ha incumplido con los términos conced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idos para el pago de la misma.</w:t>
      </w:r>
    </w:p>
    <w:p w:rsidR="00AC1C36" w:rsidRPr="006215B3" w:rsidRDefault="00AC1C36" w:rsidP="00AC1C36">
      <w:pPr>
        <w:pStyle w:val="Heading1"/>
        <w:numPr>
          <w:ilvl w:val="0"/>
          <w:numId w:val="30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215B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Proveer de forma organizada los records y la información sobre las gestiones de cobro realizadas a fin de tener una fuente confiable para los métodos de seguimiento a usarse y los informes periódicos a rendirse. </w:t>
      </w:r>
    </w:p>
    <w:tbl>
      <w:tblPr>
        <w:tblW w:w="1029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75"/>
      </w:tblGrid>
      <w:tr w:rsidR="00AC1C36" w:rsidRPr="00BA0BB5" w:rsidTr="003A6E24">
        <w:trPr>
          <w:trHeight w:val="446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C1C36" w:rsidRPr="00BA0BB5" w:rsidRDefault="00AC1C36" w:rsidP="003A6E24">
            <w:pPr>
              <w:pStyle w:val="NormalWeb"/>
              <w:spacing w:after="0" w:afterAutospacing="0"/>
              <w:rPr>
                <w:lang w:val="es-PR"/>
              </w:rPr>
            </w:pPr>
            <w:r w:rsidRPr="00BA0BB5">
              <w:rPr>
                <w:noProof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5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AC1C36" w:rsidRPr="00732DAC" w:rsidRDefault="00AC1C36" w:rsidP="003A6E2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32D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Clasificación del contribuyente</w:t>
            </w:r>
          </w:p>
        </w:tc>
      </w:tr>
    </w:tbl>
    <w:p w:rsidR="00AC1C36" w:rsidRDefault="00AC1C36" w:rsidP="00AC1C36">
      <w:pPr>
        <w:pStyle w:val="ListParagraph"/>
        <w:numPr>
          <w:ilvl w:val="0"/>
          <w:numId w:val="1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 w:rsidRPr="00BA0BB5">
        <w:rPr>
          <w:rFonts w:ascii="Times New Roman" w:eastAsia="Times New Roman" w:hAnsi="Times New Roman"/>
          <w:sz w:val="24"/>
          <w:szCs w:val="24"/>
          <w:lang w:val="es-ES"/>
        </w:rPr>
        <w:t>Individuos</w:t>
      </w:r>
    </w:p>
    <w:p w:rsidR="00AC1C36" w:rsidRPr="00BA0BB5" w:rsidRDefault="00AC1C36" w:rsidP="00AC1C36">
      <w:pPr>
        <w:pStyle w:val="ListParagraph"/>
        <w:numPr>
          <w:ilvl w:val="0"/>
          <w:numId w:val="1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>Entidades (Corporaciones – D/B/A)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62"/>
      </w:tblGrid>
      <w:tr w:rsidR="00AC1C36" w:rsidRPr="00531211" w:rsidTr="003A6E24">
        <w:trPr>
          <w:trHeight w:val="20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C1C36" w:rsidRPr="00BA0BB5" w:rsidRDefault="00AC1C36" w:rsidP="003A6E24">
            <w:pPr>
              <w:pStyle w:val="NormalWeb"/>
              <w:spacing w:before="120" w:beforeAutospacing="0" w:after="0" w:afterAutospacing="0"/>
              <w:rPr>
                <w:lang w:val="es-PR"/>
              </w:rPr>
            </w:pPr>
            <w:r w:rsidRPr="00BA0BB5">
              <w:rPr>
                <w:noProof/>
              </w:rPr>
              <w:drawing>
                <wp:inline distT="0" distB="0" distL="0" distR="0">
                  <wp:extent cx="248771" cy="228600"/>
                  <wp:effectExtent l="19050" t="0" r="0" b="0"/>
                  <wp:docPr id="11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71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AC1C36" w:rsidRPr="00732DAC" w:rsidRDefault="00AC1C36" w:rsidP="003A6E2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32D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documentos referentes al servicio</w:t>
            </w:r>
          </w:p>
        </w:tc>
      </w:tr>
    </w:tbl>
    <w:p w:rsidR="00AC1C36" w:rsidRDefault="00AC1C36" w:rsidP="00AC1C36">
      <w:p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ES"/>
        </w:rPr>
        <w:t>Se tramitan l</w:t>
      </w:r>
      <w:r w:rsidRPr="0012283E">
        <w:rPr>
          <w:rFonts w:ascii="Times New Roman" w:hAnsi="Times New Roman"/>
          <w:sz w:val="24"/>
          <w:szCs w:val="24"/>
          <w:lang w:val="es-ES"/>
        </w:rPr>
        <w:t>as</w:t>
      </w:r>
      <w:r w:rsidRPr="00A407E4">
        <w:rPr>
          <w:rFonts w:ascii="Times New Roman" w:hAnsi="Times New Roman"/>
          <w:sz w:val="24"/>
          <w:szCs w:val="24"/>
          <w:lang w:val="es-PR"/>
        </w:rPr>
        <w:t xml:space="preserve"> trasferencias de casos de cobros no fructífer</w:t>
      </w:r>
      <w:r>
        <w:rPr>
          <w:rFonts w:ascii="Times New Roman" w:hAnsi="Times New Roman"/>
          <w:sz w:val="24"/>
          <w:szCs w:val="24"/>
          <w:lang w:val="es-PR"/>
        </w:rPr>
        <w:t>os a Distritos de Cobro cuando se agotan las gestiones para cobrar la deuda sin obtener el recaudo esperado.</w:t>
      </w:r>
      <w:r w:rsidRPr="00684DA6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AC1C36" w:rsidRPr="00684DA6" w:rsidRDefault="00AC1C36" w:rsidP="00AC1C36">
      <w:pPr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 w:rsidRPr="00684DA6">
        <w:rPr>
          <w:rFonts w:ascii="Times New Roman" w:hAnsi="Times New Roman"/>
          <w:b/>
          <w:sz w:val="24"/>
          <w:szCs w:val="24"/>
          <w:lang w:val="es-PR"/>
        </w:rPr>
        <w:t>Tipos de embargos que se realizan en el Áre</w:t>
      </w:r>
      <w:r>
        <w:rPr>
          <w:rFonts w:ascii="Times New Roman" w:hAnsi="Times New Roman"/>
          <w:b/>
          <w:sz w:val="24"/>
          <w:szCs w:val="24"/>
          <w:lang w:val="es-PR"/>
        </w:rPr>
        <w:t>a</w:t>
      </w:r>
      <w:r w:rsidRPr="00684DA6">
        <w:rPr>
          <w:rFonts w:ascii="Times New Roman" w:hAnsi="Times New Roman"/>
          <w:b/>
          <w:sz w:val="24"/>
          <w:szCs w:val="24"/>
          <w:lang w:val="es-PR"/>
        </w:rPr>
        <w:t xml:space="preserve"> de Cobros de Hacienda Responde</w:t>
      </w:r>
    </w:p>
    <w:p w:rsidR="00AC1C36" w:rsidRDefault="00AC1C36" w:rsidP="00AC1C36">
      <w:pPr>
        <w:pStyle w:val="ListParagraph"/>
        <w:numPr>
          <w:ilvl w:val="0"/>
          <w:numId w:val="33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</w:t>
      </w:r>
      <w:r w:rsidRPr="00684DA6">
        <w:rPr>
          <w:rFonts w:ascii="Times New Roman" w:hAnsi="Times New Roman"/>
          <w:sz w:val="24"/>
          <w:szCs w:val="24"/>
          <w:lang w:val="es-PR"/>
        </w:rPr>
        <w:t xml:space="preserve">mbargos electrónicos </w:t>
      </w:r>
    </w:p>
    <w:p w:rsidR="00AC1C36" w:rsidRDefault="005F57B0" w:rsidP="00AC1C36">
      <w:pPr>
        <w:pStyle w:val="ListParagraph"/>
        <w:numPr>
          <w:ilvl w:val="0"/>
          <w:numId w:val="33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Embargos a Salario</w:t>
      </w:r>
    </w:p>
    <w:p w:rsidR="00AC1C36" w:rsidRDefault="00AC1C36" w:rsidP="00AC1C36">
      <w:p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684DA6">
        <w:rPr>
          <w:rFonts w:ascii="Times New Roman" w:hAnsi="Times New Roman"/>
          <w:sz w:val="24"/>
          <w:szCs w:val="24"/>
          <w:lang w:val="es-PR"/>
        </w:rPr>
        <w:t>Si no se obtienen los resultados esperados</w:t>
      </w:r>
      <w:r w:rsidRPr="006215B3">
        <w:rPr>
          <w:rFonts w:ascii="Times New Roman" w:hAnsi="Times New Roman"/>
          <w:sz w:val="24"/>
          <w:szCs w:val="24"/>
          <w:lang w:val="es-ES"/>
        </w:rPr>
        <w:t xml:space="preserve"> para asegurar el cobro de </w:t>
      </w:r>
      <w:r>
        <w:rPr>
          <w:rFonts w:ascii="Times New Roman" w:hAnsi="Times New Roman"/>
          <w:sz w:val="24"/>
          <w:szCs w:val="24"/>
          <w:lang w:val="es-ES"/>
        </w:rPr>
        <w:t>la</w:t>
      </w:r>
      <w:r w:rsidRPr="006215B3">
        <w:rPr>
          <w:rFonts w:ascii="Times New Roman" w:hAnsi="Times New Roman"/>
          <w:sz w:val="24"/>
          <w:szCs w:val="24"/>
          <w:lang w:val="es-ES"/>
        </w:rPr>
        <w:t xml:space="preserve"> deuda contributiva</w:t>
      </w:r>
      <w:r w:rsidRPr="00684DA6">
        <w:rPr>
          <w:rFonts w:ascii="Times New Roman" w:hAnsi="Times New Roman"/>
          <w:sz w:val="24"/>
          <w:szCs w:val="24"/>
          <w:lang w:val="es-PR"/>
        </w:rPr>
        <w:t xml:space="preserve"> los técnicos de cobro transfieren el caso al Distrito de Cobro</w:t>
      </w:r>
      <w:r>
        <w:rPr>
          <w:rFonts w:ascii="Times New Roman" w:hAnsi="Times New Roman"/>
          <w:sz w:val="24"/>
          <w:szCs w:val="24"/>
          <w:lang w:val="es-PR"/>
        </w:rPr>
        <w:t>. El distrito</w:t>
      </w:r>
      <w:r w:rsidRPr="00684DA6">
        <w:rPr>
          <w:rFonts w:ascii="Times New Roman" w:hAnsi="Times New Roman"/>
          <w:sz w:val="24"/>
          <w:szCs w:val="24"/>
          <w:lang w:val="es-PR"/>
        </w:rPr>
        <w:t xml:space="preserve"> a su vez comienza a procesar el caso como uno nuevo</w:t>
      </w:r>
      <w:r>
        <w:rPr>
          <w:rFonts w:ascii="Times New Roman" w:hAnsi="Times New Roman"/>
          <w:sz w:val="24"/>
          <w:szCs w:val="24"/>
          <w:lang w:val="es-PR"/>
        </w:rPr>
        <w:t>, realizando el análisis del expediente</w:t>
      </w:r>
      <w:r w:rsidRPr="00684DA6">
        <w:rPr>
          <w:rFonts w:ascii="Times New Roman" w:hAnsi="Times New Roman"/>
          <w:sz w:val="24"/>
          <w:szCs w:val="24"/>
          <w:lang w:val="es-PR"/>
        </w:rPr>
        <w:t xml:space="preserve">.  </w:t>
      </w:r>
    </w:p>
    <w:p w:rsidR="00AC1C36" w:rsidRDefault="00AC1C36" w:rsidP="00AC1C36">
      <w:pPr>
        <w:pStyle w:val="Heading1"/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Transferir Caso Conversación F625</w:t>
      </w:r>
    </w:p>
    <w:p w:rsidR="00AC1C36" w:rsidRDefault="00AC1C36" w:rsidP="00AC1C36">
      <w:pPr>
        <w:pStyle w:val="Heading1"/>
        <w:spacing w:before="120" w:after="1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Las transferencias se procesan en el sistema </w:t>
      </w:r>
      <w:r w:rsidRPr="00DB2582">
        <w:rPr>
          <w:rFonts w:ascii="Times New Roman" w:hAnsi="Times New Roman" w:cs="Times New Roman"/>
          <w:b w:val="0"/>
          <w:sz w:val="24"/>
          <w:szCs w:val="24"/>
          <w:lang w:val="es-ES"/>
        </w:rPr>
        <w:t>PRITAS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, cambiando la acción del caso en la conversación </w:t>
      </w:r>
      <w:r w:rsidRPr="00064D8A">
        <w:rPr>
          <w:rFonts w:ascii="Times New Roman" w:hAnsi="Times New Roman" w:cs="Times New Roman"/>
          <w:sz w:val="24"/>
          <w:szCs w:val="24"/>
          <w:lang w:val="es-ES"/>
        </w:rPr>
        <w:t>F625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+ ID Entidad: prefijo /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s-ES"/>
        </w:rPr>
        <w:t>Seg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. Soc. + </w:t>
      </w:r>
      <w:proofErr w:type="spellStart"/>
      <w:r w:rsidRPr="00055204">
        <w:rPr>
          <w:rFonts w:ascii="Times New Roman" w:hAnsi="Times New Roman" w:cs="Times New Roman"/>
          <w:sz w:val="24"/>
          <w:szCs w:val="24"/>
          <w:lang w:val="es-ES"/>
        </w:rPr>
        <w:t>Enter</w:t>
      </w:r>
      <w:proofErr w:type="spellEnd"/>
    </w:p>
    <w:p w:rsidR="00AC1C36" w:rsidRDefault="00AC1C36" w:rsidP="00AC1C36">
      <w:pPr>
        <w:pStyle w:val="Heading1"/>
        <w:numPr>
          <w:ilvl w:val="0"/>
          <w:numId w:val="35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Ubicar el cursor con TAB en el encasillado de </w:t>
      </w:r>
      <w:r w:rsidRPr="002711E8">
        <w:rPr>
          <w:rFonts w:ascii="Times New Roman" w:hAnsi="Times New Roman" w:cs="Times New Roman"/>
          <w:sz w:val="24"/>
          <w:szCs w:val="24"/>
          <w:lang w:val="es-ES"/>
        </w:rPr>
        <w:t>Acción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: </w:t>
      </w:r>
      <w:r w:rsidRPr="00994C71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Shift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23 </w:t>
      </w:r>
    </w:p>
    <w:p w:rsidR="00AC1C36" w:rsidRDefault="00AC1C36" w:rsidP="00AC1C36">
      <w:pPr>
        <w:pStyle w:val="Heading1"/>
        <w:numPr>
          <w:ilvl w:val="0"/>
          <w:numId w:val="35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El sistema automáticamente traerá un listado de acciones.</w:t>
      </w:r>
    </w:p>
    <w:p w:rsidR="00AC1C36" w:rsidRPr="00D81D49" w:rsidRDefault="00AC1C36" w:rsidP="00AC1C36">
      <w:pPr>
        <w:pStyle w:val="Heading1"/>
        <w:numPr>
          <w:ilvl w:val="0"/>
          <w:numId w:val="35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D81D49">
        <w:rPr>
          <w:rFonts w:ascii="Times New Roman" w:hAnsi="Times New Roman" w:cs="Times New Roman"/>
          <w:b w:val="0"/>
          <w:sz w:val="24"/>
          <w:szCs w:val="24"/>
          <w:lang w:val="es-ES"/>
        </w:rPr>
        <w:t>Seleccionar Transferir colocando una X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+ </w:t>
      </w:r>
      <w:proofErr w:type="spellStart"/>
      <w:r w:rsidRPr="00D81D49">
        <w:rPr>
          <w:rFonts w:ascii="Times New Roman" w:hAnsi="Times New Roman" w:cs="Times New Roman"/>
          <w:sz w:val="24"/>
          <w:szCs w:val="24"/>
          <w:lang w:val="es-ES"/>
        </w:rPr>
        <w:t>Enter</w:t>
      </w:r>
      <w:proofErr w:type="spellEnd"/>
    </w:p>
    <w:p w:rsidR="00AC1C36" w:rsidRDefault="00AC1C36" w:rsidP="00AC1C36">
      <w:pPr>
        <w:pStyle w:val="Heading1"/>
        <w:numPr>
          <w:ilvl w:val="0"/>
          <w:numId w:val="35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proofErr w:type="spellStart"/>
      <w:r w:rsidRPr="00994C71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Shift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14 + en Tipo de Nota: Se coloca 12 +F11 para añadir + crearás la nota</w:t>
      </w:r>
    </w:p>
    <w:p w:rsidR="00AC1C36" w:rsidRDefault="00AC1C36" w:rsidP="00AC1C36">
      <w:pPr>
        <w:pStyle w:val="Heading1"/>
        <w:numPr>
          <w:ilvl w:val="0"/>
          <w:numId w:val="35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Una vez finalizada + </w:t>
      </w:r>
      <w:proofErr w:type="spellStart"/>
      <w:r w:rsidRPr="00994C71">
        <w:rPr>
          <w:rFonts w:ascii="Times New Roman" w:hAnsi="Times New Roman" w:cs="Times New Roman"/>
          <w:sz w:val="24"/>
          <w:szCs w:val="24"/>
          <w:lang w:val="es-ES"/>
        </w:rPr>
        <w:t>Enter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+ volverás con F9 a </w:t>
      </w:r>
      <w:r w:rsidRPr="00994C71">
        <w:rPr>
          <w:rFonts w:ascii="Times New Roman" w:hAnsi="Times New Roman" w:cs="Times New Roman"/>
          <w:sz w:val="24"/>
          <w:szCs w:val="24"/>
          <w:lang w:val="es-ES"/>
        </w:rPr>
        <w:t>F625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+ </w:t>
      </w:r>
      <w:r w:rsidRPr="00994C71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Shfit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23 REC + </w:t>
      </w:r>
      <w:proofErr w:type="spellStart"/>
      <w:r w:rsidRPr="00994C71">
        <w:rPr>
          <w:rFonts w:ascii="Times New Roman" w:hAnsi="Times New Roman" w:cs="Times New Roman"/>
          <w:sz w:val="24"/>
          <w:szCs w:val="24"/>
          <w:lang w:val="es-ES"/>
        </w:rPr>
        <w:t>Enter</w:t>
      </w:r>
      <w:proofErr w:type="spellEnd"/>
    </w:p>
    <w:p w:rsidR="00AC1C36" w:rsidRPr="00AC1C36" w:rsidRDefault="00AC1C36" w:rsidP="00AC1C36">
      <w:pPr>
        <w:pStyle w:val="Heading1"/>
        <w:numPr>
          <w:ilvl w:val="0"/>
          <w:numId w:val="35"/>
        </w:numPr>
        <w:spacing w:before="120" w:after="120" w:line="360" w:lineRule="auto"/>
        <w:rPr>
          <w:rFonts w:ascii="Times New Roman" w:hAnsi="Times New Roman"/>
          <w:b w:val="0"/>
          <w:sz w:val="24"/>
          <w:szCs w:val="24"/>
          <w:lang w:val="es-ES"/>
        </w:rPr>
      </w:pPr>
      <w:r w:rsidRPr="00AC1C36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Te llevará a </w:t>
      </w:r>
      <w:r w:rsidRPr="00AC1C36">
        <w:rPr>
          <w:rFonts w:ascii="Times New Roman" w:hAnsi="Times New Roman" w:cs="Times New Roman"/>
          <w:sz w:val="24"/>
          <w:szCs w:val="24"/>
          <w:lang w:val="es-ES"/>
        </w:rPr>
        <w:t>F625</w:t>
      </w:r>
      <w:r w:rsidRPr="00AC1C36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donde actualizarás Organización</w:t>
      </w:r>
      <w:proofErr w:type="gramStart"/>
      <w:r w:rsidRPr="00AC1C36">
        <w:rPr>
          <w:rFonts w:ascii="Times New Roman" w:hAnsi="Times New Roman" w:cs="Times New Roman"/>
          <w:b w:val="0"/>
          <w:sz w:val="24"/>
          <w:szCs w:val="24"/>
          <w:lang w:val="es-ES"/>
        </w:rPr>
        <w:t>:  CBCON</w:t>
      </w:r>
      <w:proofErr w:type="gramEnd"/>
      <w:r w:rsidRPr="00AC1C36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_ _ _ (primeras tres letras del pueblo) </w:t>
      </w:r>
      <w:proofErr w:type="spellStart"/>
      <w:r w:rsidRPr="00AC1C36">
        <w:rPr>
          <w:rFonts w:ascii="Times New Roman" w:hAnsi="Times New Roman" w:cs="Times New Roman"/>
          <w:b w:val="0"/>
          <w:sz w:val="24"/>
          <w:szCs w:val="24"/>
          <w:lang w:val="es-ES"/>
        </w:rPr>
        <w:t>Ej</w:t>
      </w:r>
      <w:proofErr w:type="spellEnd"/>
      <w:r w:rsidRPr="00AC1C36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, CAG=CAGUAS + Fecha de Prioridad + Fuente: 300 + Motivo: 643 + </w:t>
      </w:r>
      <w:proofErr w:type="spellStart"/>
      <w:r w:rsidRPr="00AC1C36">
        <w:rPr>
          <w:rFonts w:ascii="Times New Roman" w:hAnsi="Times New Roman" w:cs="Times New Roman"/>
          <w:sz w:val="24"/>
          <w:szCs w:val="24"/>
          <w:lang w:val="es-ES"/>
        </w:rPr>
        <w:t>Enter</w:t>
      </w:r>
      <w:proofErr w:type="spellEnd"/>
      <w:r w:rsidRPr="00AC1C3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C1C36" w:rsidRDefault="00AC1C36" w:rsidP="00AC1C36">
      <w:pPr>
        <w:pStyle w:val="Heading1"/>
        <w:spacing w:before="120" w:after="120" w:line="360" w:lineRule="auto"/>
        <w:ind w:left="72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AC1C36" w:rsidRDefault="00AC1C36" w:rsidP="00AC1C36">
      <w:pPr>
        <w:pStyle w:val="Heading1"/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AC1C36">
        <w:rPr>
          <w:rFonts w:ascii="Times New Roman" w:hAnsi="Times New Roman" w:cs="Times New Roman"/>
          <w:sz w:val="24"/>
          <w:szCs w:val="24"/>
          <w:lang w:val="es-ES"/>
        </w:rPr>
        <w:t>Distritos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Cobro</w:t>
      </w:r>
      <w:r w:rsidR="002B3B33">
        <w:rPr>
          <w:rFonts w:ascii="Times New Roman" w:hAnsi="Times New Roman" w:cs="Times New Roman"/>
          <w:sz w:val="24"/>
          <w:szCs w:val="24"/>
          <w:lang w:val="es-ES"/>
        </w:rPr>
        <w:t xml:space="preserve"> (Organización)</w:t>
      </w:r>
    </w:p>
    <w:p w:rsidR="00AC1C36" w:rsidRDefault="00AC1C36" w:rsidP="00AC1C36">
      <w:pPr>
        <w:pStyle w:val="Heading1"/>
        <w:numPr>
          <w:ilvl w:val="0"/>
          <w:numId w:val="37"/>
        </w:numPr>
        <w:spacing w:before="120" w:after="1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Arecibo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CBCONARE</w:t>
      </w:r>
    </w:p>
    <w:p w:rsidR="00AC1C36" w:rsidRDefault="00AC1C36" w:rsidP="00AC1C36">
      <w:pPr>
        <w:pStyle w:val="Heading1"/>
        <w:numPr>
          <w:ilvl w:val="0"/>
          <w:numId w:val="37"/>
        </w:numPr>
        <w:spacing w:before="120" w:after="1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Bayamón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CBCONBAY</w:t>
      </w:r>
    </w:p>
    <w:p w:rsidR="00AC1C36" w:rsidRDefault="00AC1C36" w:rsidP="00AC1C36">
      <w:pPr>
        <w:pStyle w:val="Heading1"/>
        <w:numPr>
          <w:ilvl w:val="0"/>
          <w:numId w:val="37"/>
        </w:numPr>
        <w:spacing w:before="120" w:after="1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Caguas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CBCONCAG</w:t>
      </w:r>
    </w:p>
    <w:p w:rsidR="00AC1C36" w:rsidRDefault="00AC1C36" w:rsidP="00AC1C36">
      <w:pPr>
        <w:pStyle w:val="Heading1"/>
        <w:numPr>
          <w:ilvl w:val="0"/>
          <w:numId w:val="37"/>
        </w:numPr>
        <w:spacing w:before="120" w:after="1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Ponce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CBCONPON</w:t>
      </w:r>
    </w:p>
    <w:p w:rsidR="00AC1C36" w:rsidRDefault="00AC1C36" w:rsidP="00AC1C36">
      <w:pPr>
        <w:pStyle w:val="Heading1"/>
        <w:numPr>
          <w:ilvl w:val="0"/>
          <w:numId w:val="37"/>
        </w:numPr>
        <w:spacing w:before="120" w:after="1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Humacao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CBCONHUM</w:t>
      </w:r>
    </w:p>
    <w:p w:rsidR="00AC1C36" w:rsidRDefault="00AC1C36" w:rsidP="00AC1C36">
      <w:pPr>
        <w:pStyle w:val="Heading1"/>
        <w:numPr>
          <w:ilvl w:val="0"/>
          <w:numId w:val="37"/>
        </w:numPr>
        <w:spacing w:before="120" w:after="1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Mayagüez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CBCONMAY</w:t>
      </w:r>
    </w:p>
    <w:p w:rsidR="00AC1C36" w:rsidRDefault="00AC1C36" w:rsidP="00AC1C36">
      <w:pPr>
        <w:pStyle w:val="Heading1"/>
        <w:numPr>
          <w:ilvl w:val="0"/>
          <w:numId w:val="37"/>
        </w:numPr>
        <w:spacing w:before="120" w:after="1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San Juan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CBCONSAN</w:t>
      </w:r>
    </w:p>
    <w:p w:rsidR="002B3B33" w:rsidRPr="002B3B33" w:rsidRDefault="002B3B33" w:rsidP="002B3B33">
      <w:pPr>
        <w:pStyle w:val="Heading1"/>
        <w:spacing w:before="120" w:after="120"/>
        <w:ind w:left="144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AC1C36" w:rsidRDefault="00AC1C36" w:rsidP="00AC1C36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es-PR"/>
        </w:rPr>
      </w:pPr>
      <w:r w:rsidRPr="00F3627B">
        <w:rPr>
          <w:rFonts w:ascii="Times New Roman" w:hAnsi="Times New Roman"/>
          <w:b/>
          <w:sz w:val="24"/>
          <w:szCs w:val="24"/>
          <w:lang w:val="es-PR"/>
        </w:rPr>
        <w:t>Tipos de embargos que se realizan en los Distritos de Cobro</w:t>
      </w:r>
    </w:p>
    <w:p w:rsidR="00AC1C36" w:rsidRPr="007909A7" w:rsidRDefault="00AC1C36" w:rsidP="00AC1C36">
      <w:pPr>
        <w:pStyle w:val="ListParagraph"/>
        <w:numPr>
          <w:ilvl w:val="0"/>
          <w:numId w:val="36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7909A7">
        <w:rPr>
          <w:rFonts w:ascii="Times New Roman" w:hAnsi="Times New Roman"/>
          <w:sz w:val="24"/>
          <w:szCs w:val="24"/>
          <w:lang w:val="es-PR"/>
        </w:rPr>
        <w:t xml:space="preserve">Embargo al vehículo </w:t>
      </w:r>
    </w:p>
    <w:p w:rsidR="00AC1C36" w:rsidRDefault="00AC1C36" w:rsidP="00AC1C36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Embargo </w:t>
      </w:r>
      <w:r w:rsidRPr="00684DA6">
        <w:rPr>
          <w:rFonts w:ascii="Times New Roman" w:hAnsi="Times New Roman"/>
          <w:sz w:val="24"/>
          <w:szCs w:val="24"/>
          <w:lang w:val="es-PR"/>
        </w:rPr>
        <w:t>a la propiedad.</w:t>
      </w:r>
    </w:p>
    <w:p w:rsidR="00AC1C36" w:rsidRDefault="00AC1C36" w:rsidP="00AC1C36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</w:p>
    <w:p w:rsidR="00AC1C36" w:rsidRDefault="00AC1C36" w:rsidP="00AC1C36">
      <w:pPr>
        <w:pStyle w:val="Heading1"/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Gestiones de cobro que se realizan en Área de Cobros de Hacienda Responde</w:t>
      </w:r>
    </w:p>
    <w:p w:rsidR="00AC1C36" w:rsidRPr="00F3627B" w:rsidRDefault="00AC1C36" w:rsidP="00AC1C36">
      <w:pPr>
        <w:pStyle w:val="Heading1"/>
        <w:numPr>
          <w:ilvl w:val="0"/>
          <w:numId w:val="34"/>
        </w:numPr>
        <w:spacing w:before="0" w:after="0"/>
        <w:rPr>
          <w:rFonts w:ascii="Times New Roman" w:hAnsi="Times New Roman"/>
          <w:b w:val="0"/>
          <w:sz w:val="24"/>
          <w:szCs w:val="24"/>
          <w:lang w:val="es-ES"/>
        </w:rPr>
      </w:pPr>
      <w:r>
        <w:rPr>
          <w:rFonts w:ascii="Times New Roman" w:hAnsi="Times New Roman"/>
          <w:b w:val="0"/>
          <w:sz w:val="24"/>
          <w:szCs w:val="24"/>
          <w:lang w:val="es-PR"/>
        </w:rPr>
        <w:t>M</w:t>
      </w:r>
      <w:r w:rsidRPr="00F3627B">
        <w:rPr>
          <w:rFonts w:ascii="Times New Roman" w:hAnsi="Times New Roman"/>
          <w:b w:val="0"/>
          <w:sz w:val="24"/>
          <w:szCs w:val="24"/>
          <w:lang w:val="es-PR"/>
        </w:rPr>
        <w:t xml:space="preserve">ediante llamadas telefónicas </w:t>
      </w:r>
    </w:p>
    <w:p w:rsidR="00AC1C36" w:rsidRPr="00F3627B" w:rsidRDefault="00AC1C36" w:rsidP="00AC1C36">
      <w:pPr>
        <w:pStyle w:val="Heading1"/>
        <w:numPr>
          <w:ilvl w:val="0"/>
          <w:numId w:val="34"/>
        </w:numPr>
        <w:spacing w:before="0" w:after="0"/>
        <w:rPr>
          <w:rFonts w:ascii="Times New Roman" w:hAnsi="Times New Roman"/>
          <w:b w:val="0"/>
          <w:sz w:val="24"/>
          <w:szCs w:val="24"/>
          <w:lang w:val="es-ES"/>
        </w:rPr>
      </w:pPr>
      <w:r w:rsidRPr="00F3627B">
        <w:rPr>
          <w:rFonts w:ascii="Times New Roman" w:hAnsi="Times New Roman"/>
          <w:b w:val="0"/>
          <w:sz w:val="24"/>
          <w:szCs w:val="24"/>
          <w:lang w:val="es-PR"/>
        </w:rPr>
        <w:t xml:space="preserve">Envío de Notificaciones de Cobro </w:t>
      </w:r>
    </w:p>
    <w:p w:rsidR="00AC1C36" w:rsidRPr="007909A7" w:rsidRDefault="00AC1C36" w:rsidP="00AC1C36">
      <w:pPr>
        <w:pStyle w:val="Heading1"/>
        <w:numPr>
          <w:ilvl w:val="0"/>
          <w:numId w:val="34"/>
        </w:numPr>
        <w:spacing w:before="0" w:after="0"/>
        <w:rPr>
          <w:rFonts w:ascii="Times New Roman" w:hAnsi="Times New Roman"/>
          <w:b w:val="0"/>
          <w:sz w:val="24"/>
          <w:szCs w:val="24"/>
          <w:lang w:val="es-ES"/>
        </w:rPr>
      </w:pPr>
      <w:r w:rsidRPr="00D26D3D">
        <w:rPr>
          <w:rFonts w:ascii="Times New Roman" w:hAnsi="Times New Roman"/>
          <w:b w:val="0"/>
          <w:sz w:val="24"/>
          <w:szCs w:val="24"/>
          <w:lang w:val="es-PR"/>
        </w:rPr>
        <w:t xml:space="preserve">Embargos electrónicos (a la cuenta de banco).  </w:t>
      </w:r>
    </w:p>
    <w:p w:rsidR="00AC1C36" w:rsidRPr="00D26D3D" w:rsidRDefault="00AC1C36" w:rsidP="00AC1C36">
      <w:pPr>
        <w:pStyle w:val="Heading1"/>
        <w:spacing w:before="0" w:after="0"/>
        <w:ind w:left="720"/>
        <w:rPr>
          <w:rFonts w:ascii="Times New Roman" w:hAnsi="Times New Roman"/>
          <w:b w:val="0"/>
          <w:sz w:val="24"/>
          <w:szCs w:val="24"/>
          <w:lang w:val="es-ES"/>
        </w:rPr>
      </w:pPr>
    </w:p>
    <w:p w:rsidR="00AC1C36" w:rsidRPr="00094355" w:rsidRDefault="00AC1C36" w:rsidP="00AC1C36">
      <w:pPr>
        <w:pStyle w:val="NormalWeb"/>
        <w:spacing w:before="120" w:beforeAutospacing="0" w:after="120" w:afterAutospacing="0"/>
        <w:rPr>
          <w:b/>
          <w:lang w:val="es-ES"/>
        </w:rPr>
      </w:pPr>
      <w:r w:rsidRPr="00094355">
        <w:rPr>
          <w:b/>
          <w:lang w:val="es-ES"/>
        </w:rPr>
        <w:t>Se considera una Deuda Contributiva en Mora aquella que:</w:t>
      </w:r>
    </w:p>
    <w:p w:rsidR="00AC1C36" w:rsidRPr="00BA0BB5" w:rsidRDefault="00AC1C36" w:rsidP="00AC1C3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A0BB5">
        <w:rPr>
          <w:rFonts w:ascii="Times New Roman" w:hAnsi="Times New Roman"/>
          <w:sz w:val="24"/>
          <w:szCs w:val="24"/>
          <w:lang w:val="es-ES"/>
        </w:rPr>
        <w:t>Tenga 90 días o más, pero menos de diez (10) años, de haber sido tasada la deuda</w:t>
      </w:r>
    </w:p>
    <w:p w:rsidR="00AC1C36" w:rsidRPr="00BA0BB5" w:rsidRDefault="00AC1C36" w:rsidP="00AC1C3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A0BB5">
        <w:rPr>
          <w:rFonts w:ascii="Times New Roman" w:hAnsi="Times New Roman"/>
          <w:sz w:val="24"/>
          <w:szCs w:val="24"/>
          <w:lang w:val="es-ES"/>
        </w:rPr>
        <w:t>La deuda no está sujeta a un acuerdo de pago o no se han realizado pagos al plan en los últimos 90 días;</w:t>
      </w:r>
    </w:p>
    <w:p w:rsidR="00AC1C36" w:rsidRDefault="00AC1C36" w:rsidP="00AC1C3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A0BB5">
        <w:rPr>
          <w:rFonts w:ascii="Times New Roman" w:hAnsi="Times New Roman"/>
          <w:sz w:val="24"/>
          <w:szCs w:val="24"/>
          <w:lang w:val="es-ES"/>
        </w:rPr>
        <w:t>El Departamento no tiene conocimiento de que esté cobijada por la Ley de Quiebras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AC1C36" w:rsidRPr="00D26D3D" w:rsidRDefault="00AC1C36" w:rsidP="00AC1C36">
      <w:pPr>
        <w:pStyle w:val="Heading1"/>
        <w:numPr>
          <w:ilvl w:val="0"/>
          <w:numId w:val="6"/>
        </w:numPr>
        <w:spacing w:before="0" w:after="0"/>
        <w:rPr>
          <w:rFonts w:ascii="Times New Roman" w:hAnsi="Times New Roman"/>
          <w:b w:val="0"/>
          <w:sz w:val="24"/>
          <w:szCs w:val="24"/>
          <w:lang w:val="es-ES"/>
        </w:rPr>
      </w:pPr>
      <w:r w:rsidRPr="00D26D3D">
        <w:rPr>
          <w:rFonts w:ascii="Times New Roman" w:hAnsi="Times New Roman"/>
          <w:b w:val="0"/>
          <w:sz w:val="24"/>
          <w:szCs w:val="24"/>
          <w:lang w:val="es-ES"/>
        </w:rPr>
        <w:t>No tiene pendiente un recurso de revisión ante la Secretaría de Apelaciones Administrativas del Departamento o ante el foro judicial.</w:t>
      </w:r>
    </w:p>
    <w:p w:rsidR="00AC1C36" w:rsidRPr="00F3627B" w:rsidRDefault="00AC1C36" w:rsidP="00AC1C36">
      <w:pPr>
        <w:pStyle w:val="Heading1"/>
        <w:spacing w:before="0" w:after="0"/>
        <w:rPr>
          <w:rFonts w:ascii="Times New Roman" w:hAnsi="Times New Roman"/>
          <w:sz w:val="24"/>
          <w:szCs w:val="24"/>
          <w:lang w:val="es-PR"/>
        </w:rPr>
      </w:pPr>
    </w:p>
    <w:p w:rsidR="00AC1C36" w:rsidRDefault="00AC1C36" w:rsidP="00AC1C36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377266">
        <w:rPr>
          <w:rFonts w:ascii="Times New Roman" w:hAnsi="Times New Roman" w:cs="Times New Roman"/>
          <w:sz w:val="24"/>
          <w:szCs w:val="24"/>
          <w:lang w:val="es-ES"/>
        </w:rPr>
        <w:t>¿Qué es un embargo?</w:t>
      </w:r>
    </w:p>
    <w:p w:rsidR="00AC1C36" w:rsidRPr="00377266" w:rsidRDefault="00AC1C36" w:rsidP="00AC1C36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377266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Un embargo de bienes muebles e inmuebles es un El Secretario está autorizado a cobrar mediante procedimiento de embargo toda deuda que haya sido notificada al contribuyente, luego de expirado el término que dispone la ley para que el contribuyente pueda apelar. </w:t>
      </w:r>
    </w:p>
    <w:p w:rsidR="00AC1C36" w:rsidRPr="00377266" w:rsidRDefault="00AC1C36" w:rsidP="00AC1C36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AC1C36" w:rsidRDefault="00AC1C36" w:rsidP="00AC1C36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Proceso de Cobro Bajo la </w:t>
      </w:r>
      <w:r w:rsidRPr="00CB2AA4">
        <w:rPr>
          <w:rFonts w:ascii="Times New Roman" w:hAnsi="Times New Roman" w:cs="Times New Roman"/>
          <w:sz w:val="24"/>
          <w:szCs w:val="24"/>
          <w:lang w:val="es-ES"/>
        </w:rPr>
        <w:t>Ley de Quiebra</w:t>
      </w:r>
    </w:p>
    <w:p w:rsidR="00AC1C36" w:rsidRDefault="00AC1C36" w:rsidP="00AC1C36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lastRenderedPageBreak/>
        <w:t>En el proceso de la gestión de cobro se encuentran casos que están bajo la Ley de Quiebra que estos casos se transfieren al Área de Quiebras.</w:t>
      </w:r>
    </w:p>
    <w:p w:rsidR="00AC1C36" w:rsidRDefault="00AC1C36" w:rsidP="00AC1C36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tbl>
      <w:tblPr>
        <w:tblW w:w="102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9454"/>
      </w:tblGrid>
      <w:tr w:rsidR="00AC1C36" w:rsidRPr="00531211" w:rsidTr="003A6E24">
        <w:trPr>
          <w:trHeight w:val="645"/>
        </w:trPr>
        <w:tc>
          <w:tcPr>
            <w:tcW w:w="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C1C36" w:rsidRPr="00E8314F" w:rsidRDefault="00AC1C36" w:rsidP="003A6E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298771" cy="265196"/>
                  <wp:effectExtent l="19050" t="0" r="6029" b="0"/>
                  <wp:docPr id="12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71" cy="26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AC1C36" w:rsidRPr="002608D6" w:rsidRDefault="00AC1C36" w:rsidP="003A6E2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Código, 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AC1C36" w:rsidRPr="00545103" w:rsidRDefault="00F8322A" w:rsidP="00AC1C36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hyperlink r:id="rId12" w:history="1">
        <w:r w:rsidR="00AC1C36" w:rsidRPr="00EA0287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AC1C36" w:rsidRPr="00EA028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AC1C36" w:rsidRPr="003C7712" w:rsidRDefault="00AC1C36" w:rsidP="00AC1C36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Manual Técnicas de Cobro (Departamento de Hacienda)</w:t>
      </w:r>
    </w:p>
    <w:p w:rsidR="00AC1C36" w:rsidRPr="00611378" w:rsidRDefault="00AC1C36" w:rsidP="00611378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ind w:left="993" w:hanging="446"/>
        <w:jc w:val="both"/>
        <w:rPr>
          <w:rFonts w:ascii="Times New Roman" w:hAnsi="Times New Roman"/>
          <w:color w:val="525252"/>
          <w:sz w:val="24"/>
          <w:szCs w:val="24"/>
          <w:lang w:val="es-ES"/>
        </w:rPr>
      </w:pPr>
      <w:r w:rsidRPr="00545103">
        <w:rPr>
          <w:rFonts w:ascii="Times New Roman" w:hAnsi="Times New Roman"/>
          <w:color w:val="000000"/>
          <w:sz w:val="24"/>
          <w:szCs w:val="24"/>
          <w:lang w:val="es-PR"/>
        </w:rPr>
        <w:t xml:space="preserve">Manual Instructivo PRITAS </w:t>
      </w:r>
      <w:r w:rsidRPr="00545103">
        <w:rPr>
          <w:rFonts w:ascii="Times New Roman" w:hAnsi="Times New Roman"/>
          <w:i/>
          <w:color w:val="000000"/>
          <w:sz w:val="24"/>
          <w:szCs w:val="24"/>
          <w:lang w:val="es-PR"/>
        </w:rPr>
        <w:t>Call Center</w:t>
      </w:r>
      <w:r>
        <w:rPr>
          <w:rFonts w:ascii="Times New Roman" w:hAnsi="Times New Roman"/>
          <w:i/>
          <w:color w:val="000000"/>
          <w:sz w:val="24"/>
          <w:szCs w:val="24"/>
          <w:lang w:val="es-PR"/>
        </w:rPr>
        <w:t xml:space="preserve"> </w:t>
      </w:r>
      <w:r w:rsidRPr="00545103">
        <w:rPr>
          <w:rFonts w:ascii="Times New Roman" w:hAnsi="Times New Roman"/>
          <w:color w:val="000000"/>
          <w:sz w:val="24"/>
          <w:szCs w:val="24"/>
          <w:lang w:val="es-PR"/>
        </w:rPr>
        <w:t>(Departamento de Hacienda)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AC1C36" w:rsidRPr="00531211" w:rsidTr="003A6E24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C1C36" w:rsidRPr="00A625BF" w:rsidRDefault="00AC1C36" w:rsidP="003A6E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13" name="Picture 1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AC1C36" w:rsidRPr="002608D6" w:rsidRDefault="00AC1C36" w:rsidP="003A6E2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AC1C36" w:rsidRDefault="00AC1C36" w:rsidP="00AC1C3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Efectivo</w:t>
      </w:r>
    </w:p>
    <w:p w:rsidR="00AC1C36" w:rsidRDefault="00AC1C36" w:rsidP="00AC1C3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ATH</w:t>
      </w:r>
    </w:p>
    <w:p w:rsidR="00AC1C36" w:rsidRDefault="00AC1C36" w:rsidP="00AC1C3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Tarjetas de Crédito</w:t>
      </w:r>
    </w:p>
    <w:p w:rsidR="00AC1C36" w:rsidRDefault="00AC1C36" w:rsidP="00AC1C3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Cheque certificado (el cheque debe hacerse a nombre del Secretario de Hacienda).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AC1C36" w:rsidRPr="00531211" w:rsidTr="003A6E24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C1C36" w:rsidRPr="00A625BF" w:rsidRDefault="00AC1C36" w:rsidP="003A6E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42900"/>
                  <wp:effectExtent l="19050" t="0" r="9525" b="0"/>
                  <wp:docPr id="14" name="Picture 2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AC1C36" w:rsidRPr="002608D6" w:rsidRDefault="00AC1C36" w:rsidP="003A6E2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AC1C36" w:rsidRPr="00545103" w:rsidRDefault="00531211" w:rsidP="00531211">
      <w:pPr>
        <w:pStyle w:val="rteindent1"/>
        <w:numPr>
          <w:ilvl w:val="0"/>
          <w:numId w:val="38"/>
        </w:numPr>
        <w:spacing w:before="120" w:after="0"/>
        <w:ind w:left="9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Hacienda Responde “Sistema de Servicio y Atención al Contribuyente”</w:t>
      </w:r>
    </w:p>
    <w:p w:rsidR="00AC1C36" w:rsidRPr="004437E3" w:rsidRDefault="00AC1C36" w:rsidP="00531211">
      <w:pPr>
        <w:pStyle w:val="ListParagraph"/>
        <w:numPr>
          <w:ilvl w:val="0"/>
          <w:numId w:val="21"/>
        </w:numPr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 xml:space="preserve">Lunes a Viernes de </w:t>
      </w:r>
      <w:r w:rsidRPr="004437E3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AC1C36" w:rsidRPr="004437E3" w:rsidRDefault="00AC1C36" w:rsidP="00531211">
      <w:pPr>
        <w:pStyle w:val="ListParagraph"/>
        <w:numPr>
          <w:ilvl w:val="0"/>
          <w:numId w:val="21"/>
        </w:numPr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 w:rsidRPr="004437E3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4437E3">
        <w:rPr>
          <w:rFonts w:ascii="Times New Roman" w:hAnsi="Times New Roman"/>
          <w:color w:val="000000"/>
          <w:sz w:val="24"/>
          <w:lang w:val="es-PR"/>
        </w:rPr>
        <w:tab/>
        <w:t xml:space="preserve">(787) 620-2323 </w:t>
      </w:r>
      <w:r>
        <w:rPr>
          <w:rFonts w:ascii="Times New Roman" w:hAnsi="Times New Roman"/>
          <w:color w:val="000000"/>
          <w:sz w:val="24"/>
          <w:lang w:val="es-PR"/>
        </w:rPr>
        <w:t xml:space="preserve">/ </w:t>
      </w:r>
      <w:r w:rsidRPr="004437E3">
        <w:rPr>
          <w:rFonts w:ascii="Times New Roman" w:hAnsi="Times New Roman"/>
          <w:color w:val="000000"/>
          <w:sz w:val="24"/>
          <w:lang w:val="es-PR"/>
        </w:rPr>
        <w:t>(787) 721-2020 / (787) 7222-0216</w:t>
      </w:r>
    </w:p>
    <w:p w:rsidR="00AC1C36" w:rsidRPr="004437E3" w:rsidRDefault="00AC1C36" w:rsidP="00531211">
      <w:pPr>
        <w:pStyle w:val="ListParagraph"/>
        <w:numPr>
          <w:ilvl w:val="0"/>
          <w:numId w:val="21"/>
        </w:numPr>
        <w:shd w:val="clear" w:color="auto" w:fill="FFFFFF"/>
        <w:tabs>
          <w:tab w:val="left" w:pos="900"/>
        </w:tabs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 w:rsidRPr="004437E3">
        <w:rPr>
          <w:rFonts w:ascii="Times New Roman" w:hAnsi="Times New Roman"/>
          <w:b/>
          <w:color w:val="000000"/>
          <w:sz w:val="24"/>
          <w:lang w:val="es-PR"/>
        </w:rPr>
        <w:t>Fax: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4437E3">
        <w:rPr>
          <w:rFonts w:ascii="Times New Roman" w:hAnsi="Times New Roman"/>
          <w:color w:val="000000"/>
          <w:sz w:val="24"/>
          <w:lang w:val="es-PR"/>
        </w:rPr>
        <w:tab/>
        <w:t>(787) 200-7599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AC1C36" w:rsidRPr="00DE7488" w:rsidTr="003A6E24">
        <w:trPr>
          <w:trHeight w:val="517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C1C36" w:rsidRPr="00A625BF" w:rsidRDefault="00AC1C36" w:rsidP="003A6E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5" name="Picture 3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AC1C36" w:rsidRPr="002608D6" w:rsidRDefault="00AC1C36" w:rsidP="003A6E2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AC1C36" w:rsidRPr="004437E3" w:rsidRDefault="00F8322A" w:rsidP="00AC1C36">
      <w:pPr>
        <w:pStyle w:val="ListParagraph"/>
        <w:numPr>
          <w:ilvl w:val="0"/>
          <w:numId w:val="3"/>
        </w:numPr>
        <w:tabs>
          <w:tab w:val="left" w:pos="900"/>
        </w:tabs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16" w:history="1">
        <w:r w:rsidR="00AC1C36" w:rsidRPr="004437E3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AC1C36" w:rsidRPr="00DE7488" w:rsidTr="003A6E24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C1C36" w:rsidRPr="00A625BF" w:rsidRDefault="00AC1C36" w:rsidP="003A6E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6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AC1C36" w:rsidRPr="00F84D63" w:rsidRDefault="00AC1C36" w:rsidP="003A6E2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AC1C36" w:rsidRPr="00D02002" w:rsidRDefault="00AC1C36" w:rsidP="00531211">
      <w:pPr>
        <w:pStyle w:val="ListParagraph"/>
        <w:numPr>
          <w:ilvl w:val="0"/>
          <w:numId w:val="31"/>
        </w:numPr>
        <w:spacing w:before="120" w:after="120" w:line="240" w:lineRule="auto"/>
        <w:ind w:left="900"/>
        <w:rPr>
          <w:rFonts w:ascii="Times New Roman" w:hAnsi="Times New Roman"/>
          <w:b/>
          <w:lang w:val="es-PR"/>
        </w:rPr>
      </w:pPr>
      <w:bookmarkStart w:id="0" w:name="_GoBack"/>
      <w:bookmarkEnd w:id="0"/>
      <w:r w:rsidRPr="00D02002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</w:t>
      </w:r>
      <w:r>
        <w:rPr>
          <w:rFonts w:ascii="Times New Roman" w:hAnsi="Times New Roman"/>
          <w:sz w:val="24"/>
          <w:szCs w:val="24"/>
          <w:lang w:val="es-PR"/>
        </w:rPr>
        <w:t>.</w:t>
      </w:r>
    </w:p>
    <w:p w:rsidR="00095144" w:rsidRPr="00AC1C36" w:rsidRDefault="00095144" w:rsidP="00AC1C36">
      <w:pPr>
        <w:rPr>
          <w:lang w:val="es-PR"/>
        </w:rPr>
      </w:pPr>
    </w:p>
    <w:sectPr w:rsidR="00095144" w:rsidRPr="00AC1C36" w:rsidSect="004E4682">
      <w:headerReference w:type="default" r:id="rId18"/>
      <w:footerReference w:type="default" r:id="rId19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2A" w:rsidRDefault="00F8322A" w:rsidP="004E4682">
      <w:pPr>
        <w:spacing w:after="0" w:line="240" w:lineRule="auto"/>
      </w:pPr>
      <w:r>
        <w:separator/>
      </w:r>
    </w:p>
  </w:endnote>
  <w:endnote w:type="continuationSeparator" w:id="0">
    <w:p w:rsidR="00F8322A" w:rsidRDefault="00F8322A" w:rsidP="004E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4E4682" w:rsidRPr="00531211" w:rsidTr="006A78D3">
      <w:tc>
        <w:tcPr>
          <w:tcW w:w="918" w:type="dxa"/>
        </w:tcPr>
        <w:p w:rsidR="004E4682" w:rsidRDefault="004E4682" w:rsidP="006A78D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 wp14:anchorId="566B2544" wp14:editId="6781904C">
                <wp:extent cx="971550" cy="619125"/>
                <wp:effectExtent l="19050" t="0" r="0" b="0"/>
                <wp:docPr id="1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1BB3" w:rsidRPr="005F57B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5F57B0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5A1BB3" w:rsidRPr="005F57B0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31211" w:rsidRPr="00531211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5A1BB3" w:rsidRPr="005F57B0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4E4682" w:rsidRDefault="004E4682" w:rsidP="006A78D3">
          <w:pPr>
            <w:pStyle w:val="Footer"/>
            <w:rPr>
              <w:rFonts w:ascii="Times New Roman" w:hAnsi="Times New Roman"/>
              <w:lang w:val="es-PR"/>
            </w:rPr>
          </w:pPr>
        </w:p>
        <w:p w:rsidR="004E4682" w:rsidRPr="00BD789E" w:rsidRDefault="004E4682" w:rsidP="005F57B0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 w:rsidRPr="00BD789E"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4E4682" w:rsidRDefault="005F57B0" w:rsidP="005F57B0">
          <w:pPr>
            <w:pStyle w:val="Footer"/>
            <w:tabs>
              <w:tab w:val="left" w:pos="3270"/>
            </w:tabs>
            <w:rPr>
              <w:rFonts w:ascii="Times New Roman" w:hAnsi="Times New Roman"/>
              <w:sz w:val="16"/>
              <w:szCs w:val="16"/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ab/>
          </w:r>
        </w:p>
        <w:p w:rsidR="004E4682" w:rsidRPr="008F04DB" w:rsidRDefault="004E4682" w:rsidP="005F57B0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4E4682" w:rsidRPr="004E4682" w:rsidRDefault="004E4682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2A" w:rsidRDefault="00F8322A" w:rsidP="004E4682">
      <w:pPr>
        <w:spacing w:after="0" w:line="240" w:lineRule="auto"/>
      </w:pPr>
      <w:r>
        <w:separator/>
      </w:r>
    </w:p>
  </w:footnote>
  <w:footnote w:type="continuationSeparator" w:id="0">
    <w:p w:rsidR="00F8322A" w:rsidRDefault="00F8322A" w:rsidP="004E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4E4682" w:rsidRPr="00531211" w:rsidTr="00E45352">
      <w:trPr>
        <w:trHeight w:val="1458"/>
      </w:trPr>
      <w:tc>
        <w:tcPr>
          <w:tcW w:w="8395" w:type="dxa"/>
        </w:tcPr>
        <w:p w:rsidR="004E4682" w:rsidRDefault="004E4682" w:rsidP="006A78D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5F57B0" w:rsidRDefault="005F57B0" w:rsidP="006A78D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4E4682" w:rsidRDefault="004E4682" w:rsidP="006A78D3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Recaudaciones</w:t>
          </w:r>
        </w:p>
        <w:p w:rsidR="004E4682" w:rsidRPr="004C743D" w:rsidRDefault="00E45352" w:rsidP="00AC1C36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Transferencia de Casos de Cobros No Fructíferos a Distritos</w:t>
          </w:r>
        </w:p>
      </w:tc>
      <w:tc>
        <w:tcPr>
          <w:tcW w:w="1195" w:type="dxa"/>
        </w:tcPr>
        <w:p w:rsidR="004E4682" w:rsidRPr="00D049E5" w:rsidRDefault="005F57B0" w:rsidP="006A78D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3057FE" wp14:editId="36AC5D67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464820</wp:posOffset>
                    </wp:positionV>
                    <wp:extent cx="1114425" cy="409575"/>
                    <wp:effectExtent l="9525" t="9525" r="9525" b="952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4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4682" w:rsidRPr="00446DFA" w:rsidRDefault="005F57B0" w:rsidP="005F57B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NREC-009</w:t>
                                </w:r>
                              </w:p>
                              <w:p w:rsidR="004E4682" w:rsidRPr="002608D6" w:rsidRDefault="005F57B0" w:rsidP="004E4682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Vigencia: 29</w:t>
                                </w:r>
                                <w:r w:rsidR="004E4682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sep</w:t>
                                </w:r>
                                <w:r w:rsidR="004E4682" w:rsidRPr="00446DFA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75pt;margin-top:36.6pt;width:87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">
                    <v:textbox>
                      <w:txbxContent>
                        <w:p w:rsidR="004E4682" w:rsidRPr="00446DFA" w:rsidRDefault="005F57B0" w:rsidP="005F57B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NREC-009</w:t>
                          </w:r>
                        </w:p>
                        <w:p w:rsidR="004E4682" w:rsidRPr="002608D6" w:rsidRDefault="005F57B0" w:rsidP="004E4682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Vigencia: 29</w:t>
                          </w:r>
                          <w:r w:rsidR="004E4682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sep</w:t>
                          </w:r>
                          <w:r w:rsidR="004E4682" w:rsidRPr="00446DFA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4E4682" w:rsidRPr="004E4682" w:rsidRDefault="004E4682" w:rsidP="004E4682">
    <w:pPr>
      <w:pStyle w:val="Header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BA2"/>
    <w:multiLevelType w:val="hybridMultilevel"/>
    <w:tmpl w:val="F060138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576C47"/>
    <w:multiLevelType w:val="hybridMultilevel"/>
    <w:tmpl w:val="5D5E73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5794C"/>
    <w:multiLevelType w:val="hybridMultilevel"/>
    <w:tmpl w:val="FD8683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C0AC3"/>
    <w:multiLevelType w:val="hybridMultilevel"/>
    <w:tmpl w:val="3546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9041A"/>
    <w:multiLevelType w:val="multilevel"/>
    <w:tmpl w:val="B1A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B22DA"/>
    <w:multiLevelType w:val="hybridMultilevel"/>
    <w:tmpl w:val="65201428"/>
    <w:lvl w:ilvl="0" w:tplc="A1B6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10389"/>
    <w:multiLevelType w:val="multilevel"/>
    <w:tmpl w:val="F982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F16C2"/>
    <w:multiLevelType w:val="multilevel"/>
    <w:tmpl w:val="4C22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42B4E"/>
    <w:multiLevelType w:val="hybridMultilevel"/>
    <w:tmpl w:val="ABA44C26"/>
    <w:lvl w:ilvl="0" w:tplc="BB869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8A46AE"/>
    <w:multiLevelType w:val="hybridMultilevel"/>
    <w:tmpl w:val="36B2CC98"/>
    <w:lvl w:ilvl="0" w:tplc="A1B6703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AFB5309"/>
    <w:multiLevelType w:val="hybridMultilevel"/>
    <w:tmpl w:val="F7BA305E"/>
    <w:lvl w:ilvl="0" w:tplc="07409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5F4470"/>
    <w:multiLevelType w:val="hybridMultilevel"/>
    <w:tmpl w:val="848454D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0D77DEB"/>
    <w:multiLevelType w:val="hybridMultilevel"/>
    <w:tmpl w:val="E562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14466"/>
    <w:multiLevelType w:val="hybridMultilevel"/>
    <w:tmpl w:val="6CD20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E95C37"/>
    <w:multiLevelType w:val="multilevel"/>
    <w:tmpl w:val="1C9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170819"/>
    <w:multiLevelType w:val="hybridMultilevel"/>
    <w:tmpl w:val="954C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F7FF2"/>
    <w:multiLevelType w:val="hybridMultilevel"/>
    <w:tmpl w:val="716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C3B2F"/>
    <w:multiLevelType w:val="hybridMultilevel"/>
    <w:tmpl w:val="85F8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12049"/>
    <w:multiLevelType w:val="hybridMultilevel"/>
    <w:tmpl w:val="DB4C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92816"/>
    <w:multiLevelType w:val="hybridMultilevel"/>
    <w:tmpl w:val="2F30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578B1"/>
    <w:multiLevelType w:val="hybridMultilevel"/>
    <w:tmpl w:val="DFD805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152FDC"/>
    <w:multiLevelType w:val="hybridMultilevel"/>
    <w:tmpl w:val="8870B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0C23D6"/>
    <w:multiLevelType w:val="hybridMultilevel"/>
    <w:tmpl w:val="2F7C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81D36"/>
    <w:multiLevelType w:val="hybridMultilevel"/>
    <w:tmpl w:val="B0C0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06A52"/>
    <w:multiLevelType w:val="hybridMultilevel"/>
    <w:tmpl w:val="528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8085D"/>
    <w:multiLevelType w:val="hybridMultilevel"/>
    <w:tmpl w:val="F648E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83870"/>
    <w:multiLevelType w:val="hybridMultilevel"/>
    <w:tmpl w:val="E25805BA"/>
    <w:lvl w:ilvl="0" w:tplc="032AC02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289671C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lang w:val="es-ES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0D13A22"/>
    <w:multiLevelType w:val="multilevel"/>
    <w:tmpl w:val="6598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71754"/>
    <w:multiLevelType w:val="hybridMultilevel"/>
    <w:tmpl w:val="C5F2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F055A"/>
    <w:multiLevelType w:val="hybridMultilevel"/>
    <w:tmpl w:val="FA5C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4757D"/>
    <w:multiLevelType w:val="hybridMultilevel"/>
    <w:tmpl w:val="41A6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57840"/>
    <w:multiLevelType w:val="hybridMultilevel"/>
    <w:tmpl w:val="EE6AE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457A93"/>
    <w:multiLevelType w:val="hybridMultilevel"/>
    <w:tmpl w:val="766A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D3021"/>
    <w:multiLevelType w:val="hybridMultilevel"/>
    <w:tmpl w:val="5D9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C0076"/>
    <w:multiLevelType w:val="hybridMultilevel"/>
    <w:tmpl w:val="5AC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A252F"/>
    <w:multiLevelType w:val="hybridMultilevel"/>
    <w:tmpl w:val="D9F29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4D3748"/>
    <w:multiLevelType w:val="hybridMultilevel"/>
    <w:tmpl w:val="C108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5246F"/>
    <w:multiLevelType w:val="multilevel"/>
    <w:tmpl w:val="FC3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8"/>
  </w:num>
  <w:num w:numId="3">
    <w:abstractNumId w:val="5"/>
  </w:num>
  <w:num w:numId="4">
    <w:abstractNumId w:val="26"/>
  </w:num>
  <w:num w:numId="5">
    <w:abstractNumId w:val="9"/>
  </w:num>
  <w:num w:numId="6">
    <w:abstractNumId w:val="37"/>
  </w:num>
  <w:num w:numId="7">
    <w:abstractNumId w:val="3"/>
  </w:num>
  <w:num w:numId="8">
    <w:abstractNumId w:val="13"/>
  </w:num>
  <w:num w:numId="9">
    <w:abstractNumId w:val="21"/>
  </w:num>
  <w:num w:numId="10">
    <w:abstractNumId w:val="0"/>
  </w:num>
  <w:num w:numId="11">
    <w:abstractNumId w:val="35"/>
  </w:num>
  <w:num w:numId="12">
    <w:abstractNumId w:val="1"/>
  </w:num>
  <w:num w:numId="13">
    <w:abstractNumId w:val="25"/>
  </w:num>
  <w:num w:numId="14">
    <w:abstractNumId w:val="22"/>
  </w:num>
  <w:num w:numId="15">
    <w:abstractNumId w:val="11"/>
  </w:num>
  <w:num w:numId="16">
    <w:abstractNumId w:val="2"/>
  </w:num>
  <w:num w:numId="17">
    <w:abstractNumId w:val="24"/>
  </w:num>
  <w:num w:numId="18">
    <w:abstractNumId w:val="20"/>
  </w:num>
  <w:num w:numId="19">
    <w:abstractNumId w:val="18"/>
  </w:num>
  <w:num w:numId="20">
    <w:abstractNumId w:val="10"/>
  </w:num>
  <w:num w:numId="21">
    <w:abstractNumId w:val="28"/>
  </w:num>
  <w:num w:numId="22">
    <w:abstractNumId w:val="29"/>
  </w:num>
  <w:num w:numId="23">
    <w:abstractNumId w:val="33"/>
  </w:num>
  <w:num w:numId="24">
    <w:abstractNumId w:val="32"/>
  </w:num>
  <w:num w:numId="25">
    <w:abstractNumId w:val="19"/>
  </w:num>
  <w:num w:numId="26">
    <w:abstractNumId w:val="15"/>
  </w:num>
  <w:num w:numId="27">
    <w:abstractNumId w:val="12"/>
  </w:num>
  <w:num w:numId="28">
    <w:abstractNumId w:val="36"/>
  </w:num>
  <w:num w:numId="29">
    <w:abstractNumId w:val="17"/>
  </w:num>
  <w:num w:numId="30">
    <w:abstractNumId w:val="16"/>
  </w:num>
  <w:num w:numId="31">
    <w:abstractNumId w:val="23"/>
  </w:num>
  <w:num w:numId="32">
    <w:abstractNumId w:val="14"/>
  </w:num>
  <w:num w:numId="33">
    <w:abstractNumId w:val="6"/>
  </w:num>
  <w:num w:numId="34">
    <w:abstractNumId w:val="27"/>
  </w:num>
  <w:num w:numId="35">
    <w:abstractNumId w:val="7"/>
  </w:num>
  <w:num w:numId="36">
    <w:abstractNumId w:val="4"/>
  </w:num>
  <w:num w:numId="37">
    <w:abstractNumId w:val="3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82"/>
    <w:rsid w:val="00042409"/>
    <w:rsid w:val="000625AC"/>
    <w:rsid w:val="00095144"/>
    <w:rsid w:val="002361BB"/>
    <w:rsid w:val="00256B8D"/>
    <w:rsid w:val="00280584"/>
    <w:rsid w:val="002B3B33"/>
    <w:rsid w:val="0038188E"/>
    <w:rsid w:val="00455518"/>
    <w:rsid w:val="004E4682"/>
    <w:rsid w:val="00531211"/>
    <w:rsid w:val="0059345D"/>
    <w:rsid w:val="005A1BB3"/>
    <w:rsid w:val="005F4E64"/>
    <w:rsid w:val="005F57B0"/>
    <w:rsid w:val="00611378"/>
    <w:rsid w:val="006222CB"/>
    <w:rsid w:val="00680691"/>
    <w:rsid w:val="006D3FCD"/>
    <w:rsid w:val="006E53D8"/>
    <w:rsid w:val="00700C18"/>
    <w:rsid w:val="0087356A"/>
    <w:rsid w:val="00970C2C"/>
    <w:rsid w:val="00993AA8"/>
    <w:rsid w:val="00994184"/>
    <w:rsid w:val="00AC1C36"/>
    <w:rsid w:val="00B84691"/>
    <w:rsid w:val="00BC55DE"/>
    <w:rsid w:val="00CB0120"/>
    <w:rsid w:val="00D0627A"/>
    <w:rsid w:val="00DE080B"/>
    <w:rsid w:val="00E45352"/>
    <w:rsid w:val="00E77B82"/>
    <w:rsid w:val="00F34A87"/>
    <w:rsid w:val="00F3759A"/>
    <w:rsid w:val="00F82FD6"/>
    <w:rsid w:val="00F8322A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82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625AC"/>
    <w:pPr>
      <w:spacing w:before="300" w:after="150" w:line="240" w:lineRule="auto"/>
      <w:outlineLvl w:val="0"/>
    </w:pPr>
    <w:rPr>
      <w:rFonts w:ascii="Helvetica" w:eastAsia="Times New Roman" w:hAnsi="Helvetica" w:cs="Helvetica"/>
      <w:b/>
      <w:bCs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6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6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82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25AC"/>
    <w:rPr>
      <w:rFonts w:ascii="Helvetica" w:eastAsia="Times New Roman" w:hAnsi="Helvetica" w:cs="Helvetica"/>
      <w:b/>
      <w:bCs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5AC"/>
    <w:rPr>
      <w:color w:val="0000FF" w:themeColor="hyperlink"/>
      <w:u w:val="single"/>
    </w:rPr>
  </w:style>
  <w:style w:type="paragraph" w:customStyle="1" w:styleId="rteindent1">
    <w:name w:val="rteindent1"/>
    <w:basedOn w:val="Normal"/>
    <w:rsid w:val="000625AC"/>
    <w:pPr>
      <w:spacing w:after="150" w:line="315" w:lineRule="atLeast"/>
      <w:ind w:left="600"/>
    </w:pPr>
    <w:rPr>
      <w:rFonts w:ascii="Open Sans" w:eastAsia="Times New Roman" w:hAnsi="Open San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82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625AC"/>
    <w:pPr>
      <w:spacing w:before="300" w:after="150" w:line="240" w:lineRule="auto"/>
      <w:outlineLvl w:val="0"/>
    </w:pPr>
    <w:rPr>
      <w:rFonts w:ascii="Helvetica" w:eastAsia="Times New Roman" w:hAnsi="Helvetica" w:cs="Helvetica"/>
      <w:b/>
      <w:bCs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6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6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82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25AC"/>
    <w:rPr>
      <w:rFonts w:ascii="Helvetica" w:eastAsia="Times New Roman" w:hAnsi="Helvetica" w:cs="Helvetica"/>
      <w:b/>
      <w:bCs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5AC"/>
    <w:rPr>
      <w:color w:val="0000FF" w:themeColor="hyperlink"/>
      <w:u w:val="single"/>
    </w:rPr>
  </w:style>
  <w:style w:type="paragraph" w:customStyle="1" w:styleId="rteindent1">
    <w:name w:val="rteindent1"/>
    <w:basedOn w:val="Normal"/>
    <w:rsid w:val="000625AC"/>
    <w:pPr>
      <w:spacing w:after="150" w:line="315" w:lineRule="atLeast"/>
      <w:ind w:left="600"/>
    </w:pPr>
    <w:rPr>
      <w:rFonts w:ascii="Open Sans" w:eastAsia="Times New Roman" w:hAnsi="Open San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hacienda.pr.gov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Classification xmlns="5f0ae432-0749-408f-8ead-50bf53da4852">10</Classification>
    <Negociado xmlns="5f0ae432-0749-408f-8ead-50bf53da4852" xsi:nil="true"/>
  </documentManagement>
</p:properties>
</file>

<file path=customXml/itemProps1.xml><?xml version="1.0" encoding="utf-8"?>
<ds:datastoreItem xmlns:ds="http://schemas.openxmlformats.org/officeDocument/2006/customXml" ds:itemID="{6A76EA5F-2E7E-43DC-A268-A7EE8B9B5ACA}"/>
</file>

<file path=customXml/itemProps2.xml><?xml version="1.0" encoding="utf-8"?>
<ds:datastoreItem xmlns:ds="http://schemas.openxmlformats.org/officeDocument/2006/customXml" ds:itemID="{FA1D989E-B0DE-44F2-BE13-6524BCCB1FEE}"/>
</file>

<file path=customXml/itemProps3.xml><?xml version="1.0" encoding="utf-8"?>
<ds:datastoreItem xmlns:ds="http://schemas.openxmlformats.org/officeDocument/2006/customXml" ds:itemID="{3475D854-7BBF-4727-A118-CD2D46837F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Transferencia de Casos de Cobros No Fructiferos a Distritos </vt:lpstr>
    </vt:vector>
  </TitlesOfParts>
  <Company>Area de Rentas Internas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Transferencia de Casos de Cobros No Fructiferos a Distritos</dc:title>
  <dc:subject>Referido</dc:subject>
  <dc:creator>Alma Delgado Pagan</dc:creator>
  <cp:keywords>NREC</cp:keywords>
  <dc:description/>
  <cp:lastModifiedBy>jtb3509</cp:lastModifiedBy>
  <cp:revision>7</cp:revision>
  <cp:lastPrinted>2015-09-29T16:04:00Z</cp:lastPrinted>
  <dcterms:created xsi:type="dcterms:W3CDTF">2015-09-29T16:03:00Z</dcterms:created>
  <dcterms:modified xsi:type="dcterms:W3CDTF">2015-09-29T17:26:00Z</dcterms:modified>
  <cp:category>Negociado de Recaudaciones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