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8C481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A9BADFE" wp14:editId="016EC91C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B519E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B519E7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  <w:r w:rsidR="00B519E7" w:rsidRPr="00B519E7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>Crear Referido</w:t>
            </w:r>
          </w:p>
        </w:tc>
      </w:tr>
    </w:tbl>
    <w:p w:rsidR="00B519E7" w:rsidRPr="00B05AEE" w:rsidRDefault="004C545F" w:rsidP="00576109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4C545F">
        <w:rPr>
          <w:rFonts w:asciiTheme="minorHAnsi" w:hAnsiTheme="minorHAnsi" w:cstheme="minorHAnsi"/>
          <w:sz w:val="22"/>
          <w:szCs w:val="22"/>
          <w:lang w:val="es-PR"/>
        </w:rPr>
        <w:t xml:space="preserve">Ofrecer al consumidor una herramienta </w:t>
      </w:r>
      <w:r w:rsidR="00B05AEE">
        <w:rPr>
          <w:rFonts w:asciiTheme="minorHAnsi" w:hAnsiTheme="minorHAnsi" w:cstheme="minorHAnsi"/>
          <w:sz w:val="22"/>
          <w:szCs w:val="22"/>
          <w:lang w:val="es-PR"/>
        </w:rPr>
        <w:t>para conocer el estatus de u</w:t>
      </w:r>
      <w:r w:rsidRPr="004C545F">
        <w:rPr>
          <w:rFonts w:asciiTheme="minorHAnsi" w:hAnsiTheme="minorHAnsi" w:cstheme="minorHAnsi"/>
          <w:sz w:val="22"/>
          <w:szCs w:val="22"/>
          <w:lang w:val="es-PR"/>
        </w:rPr>
        <w:t xml:space="preserve">na </w:t>
      </w:r>
      <w:r w:rsidR="00B05AEE">
        <w:rPr>
          <w:rFonts w:asciiTheme="minorHAnsi" w:hAnsiTheme="minorHAnsi" w:cstheme="minorHAnsi"/>
          <w:sz w:val="22"/>
          <w:szCs w:val="22"/>
          <w:lang w:val="es-PR"/>
        </w:rPr>
        <w:t xml:space="preserve"> querella</w:t>
      </w:r>
      <w:r w:rsidRPr="004C545F">
        <w:rPr>
          <w:rFonts w:asciiTheme="minorHAnsi" w:hAnsiTheme="minorHAnsi" w:cstheme="minorHAnsi"/>
          <w:sz w:val="22"/>
          <w:szCs w:val="22"/>
          <w:lang w:val="es-PR"/>
        </w:rPr>
        <w:t xml:space="preserve"> radicada ante el Departamento de Asuntos del Consumidor.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Default="00B519E7" w:rsidP="00B519E7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Consumidores que hayan radicado una querella ante el DACO.</w:t>
      </w:r>
    </w:p>
    <w:p w:rsidR="00B519E7" w:rsidRPr="002241F3" w:rsidRDefault="00B519E7" w:rsidP="00B519E7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propósito es </w:t>
      </w:r>
      <w:r w:rsidR="00B05AEE">
        <w:rPr>
          <w:rFonts w:asciiTheme="minorHAnsi" w:hAnsiTheme="minorHAnsi" w:cs="Arial"/>
          <w:color w:val="000000"/>
          <w:sz w:val="22"/>
          <w:szCs w:val="22"/>
          <w:lang w:val="es-PR"/>
        </w:rPr>
        <w:t>brindar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información al consumidor del estatus de la querella que radicó ante</w:t>
      </w:r>
      <w:r w:rsidR="00B05AE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el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DACO.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88ED42" wp14:editId="3B02D8B0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B05AEE" w:rsidRDefault="00121B68" w:rsidP="002471C1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121B68">
        <w:rPr>
          <w:rFonts w:asciiTheme="minorHAnsi" w:hAnsiTheme="minorHAnsi" w:cstheme="minorHAnsi"/>
          <w:color w:val="000000"/>
          <w:lang w:val="es-PR"/>
        </w:rPr>
        <w:t>Es importante que el ciudadano conozca que la información que será suministrada es solamente para fines de orientación y no sustituye las comunicaciones oficiales del DACO.</w:t>
      </w:r>
    </w:p>
    <w:p w:rsidR="00121B68" w:rsidRPr="00121B68" w:rsidRDefault="00121B68" w:rsidP="002471C1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Para información detallada de cada caso debe visitar la oficina regional del DACO.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8F34D6" w:rsidRPr="008F34D6" w:rsidTr="003518F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F34D6" w:rsidRPr="00A625BF" w:rsidRDefault="008F34D6" w:rsidP="003518F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7B9A86" wp14:editId="5BE3FFEA">
                  <wp:extent cx="275787" cy="274320"/>
                  <wp:effectExtent l="0" t="0" r="0" b="0"/>
                  <wp:docPr id="6" name="Picture 6" descr="C:\Users\rsilva\AppData\Local\Microsoft\Windows\Temporary Internet Files\Content.IE5\D13EUT26\MC900195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silva\AppData\Local\Microsoft\Windows\Temporary Internet Files\Content.IE5\D13EUT26\MC900195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7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F34D6" w:rsidRPr="00A625BF" w:rsidRDefault="008F34D6" w:rsidP="008F34D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Notas al Operador</w:t>
            </w: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B05AEE" w:rsidRDefault="00B05AEE" w:rsidP="00B738F0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3-1-1 Tu Línea de Servicios del Gobierno no tendrá acceso al estatus de estas querellas por lo que procederá a realizar un referido a la agencia</w:t>
      </w:r>
    </w:p>
    <w:p w:rsidR="008F34D6" w:rsidRDefault="00B05AEE" w:rsidP="00B738F0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Si el </w:t>
      </w:r>
      <w:r w:rsidR="00366F9E">
        <w:rPr>
          <w:rFonts w:asciiTheme="minorHAnsi" w:hAnsiTheme="minorHAnsi" w:cs="Arial"/>
          <w:color w:val="000000"/>
          <w:sz w:val="22"/>
          <w:szCs w:val="22"/>
          <w:lang w:val="es-PR"/>
        </w:rPr>
        <w:t>ciudadano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desea</w:t>
      </w:r>
      <w:r w:rsidR="001B5E7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saber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estatus de su querella, é</w:t>
      </w:r>
      <w:r w:rsidR="001B5E7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ste deberá </w:t>
      </w:r>
      <w:r w:rsidR="008C481C">
        <w:rPr>
          <w:rFonts w:asciiTheme="minorHAnsi" w:hAnsiTheme="minorHAnsi" w:cs="Arial"/>
          <w:color w:val="000000"/>
          <w:sz w:val="22"/>
          <w:szCs w:val="22"/>
          <w:lang w:val="es-PR"/>
        </w:rPr>
        <w:t>hacer un</w:t>
      </w:r>
      <w:r w:rsidR="001B5E7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referido a través del Sistema de Manejo de Caso del 3-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1-1</w:t>
      </w:r>
      <w:r w:rsidR="00366F9E">
        <w:rPr>
          <w:rFonts w:asciiTheme="minorHAnsi" w:hAnsiTheme="minorHAnsi" w:cs="Arial"/>
          <w:color w:val="000000"/>
          <w:sz w:val="22"/>
          <w:szCs w:val="22"/>
          <w:lang w:val="es-PR"/>
        </w:rPr>
        <w:t>. Si el ciudadano no desea realizar un referido se le notificará que deberá visitar la oficina del DACO más cercana a su residencia</w:t>
      </w:r>
      <w:r w:rsidR="008F34D6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B13461" w:rsidRPr="00B13461" w:rsidRDefault="00B13461" w:rsidP="00B13461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13461">
        <w:rPr>
          <w:rFonts w:asciiTheme="minorHAnsi" w:hAnsiTheme="minorHAnsi" w:cstheme="minorHAnsi"/>
          <w:bCs/>
          <w:sz w:val="22"/>
          <w:szCs w:val="22"/>
          <w:lang w:val="es-PR"/>
        </w:rPr>
        <w:t>El telecomunicador no</w:t>
      </w:r>
      <w:r w:rsidRPr="00B13461">
        <w:rPr>
          <w:rFonts w:asciiTheme="minorHAnsi" w:hAnsiTheme="minorHAnsi" w:cstheme="minorHAnsi"/>
          <w:sz w:val="22"/>
          <w:szCs w:val="22"/>
          <w:lang w:val="es-PR"/>
        </w:rPr>
        <w:t xml:space="preserve"> podrá realizar un referido sobre el estatus de querellas radicadas por internet.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C481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5DB0CD" wp14:editId="0F54998B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2E462E" w:rsidRPr="00FD05FD" w:rsidRDefault="008F4262" w:rsidP="002E462E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hyperlink r:id="rId17" w:history="1">
        <w:r w:rsidR="002E462E" w:rsidRPr="006C2486">
          <w:rPr>
            <w:rStyle w:val="Hyperlink"/>
            <w:rFonts w:asciiTheme="minorHAnsi" w:hAnsiTheme="minorHAnsi" w:cstheme="minorHAnsi"/>
            <w:lang w:val="es-PR"/>
          </w:rPr>
          <w:t>Directorio del Departamento de Asuntos del Consumidor</w:t>
        </w:r>
      </w:hyperlink>
    </w:p>
    <w:p w:rsidR="002E462E" w:rsidRPr="00FD05FD" w:rsidRDefault="002E462E" w:rsidP="002E462E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t>Lugar:</w:t>
      </w:r>
      <w:r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>Departamento de Asuntos del Consumidor</w:t>
      </w:r>
    </w:p>
    <w:p w:rsidR="002E462E" w:rsidRDefault="002E462E" w:rsidP="002E462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  <w:t xml:space="preserve">Centro Gubernamental Minillas </w:t>
      </w:r>
    </w:p>
    <w:p w:rsidR="002E462E" w:rsidRPr="00FD05FD" w:rsidRDefault="002E462E" w:rsidP="002E462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>Torre Norte, Piso 8</w:t>
      </w:r>
    </w:p>
    <w:p w:rsidR="002E462E" w:rsidRPr="00FD05FD" w:rsidRDefault="002E462E" w:rsidP="002E462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  <w:t>Ave. José de Diego Parada 22 Santurce</w:t>
      </w:r>
    </w:p>
    <w:p w:rsidR="002E462E" w:rsidRPr="00FD05FD" w:rsidRDefault="002E462E" w:rsidP="002E462E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  <w:t>San Juan, PR 00940-1059</w:t>
      </w:r>
    </w:p>
    <w:p w:rsidR="002E462E" w:rsidRPr="00FD05FD" w:rsidRDefault="002E462E" w:rsidP="002E462E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t>Horario:</w:t>
      </w:r>
      <w:r w:rsidRPr="00FD05FD">
        <w:rPr>
          <w:rFonts w:asciiTheme="minorHAnsi" w:hAnsiTheme="minorHAnsi" w:cstheme="minorHAnsi"/>
          <w:color w:val="000000"/>
          <w:lang w:val="es-PR"/>
        </w:rPr>
        <w:tab/>
        <w:t>Lunes a Viernes</w:t>
      </w:r>
    </w:p>
    <w:p w:rsidR="002E462E" w:rsidRPr="00FD05FD" w:rsidRDefault="002E462E" w:rsidP="002E462E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</w:rPr>
        <w:t>8:00am - 12:00pm</w:t>
      </w:r>
    </w:p>
    <w:p w:rsidR="002E462E" w:rsidRPr="00B738F0" w:rsidRDefault="002E462E" w:rsidP="002E462E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 w:rsidRPr="00FD05FD">
        <w:rPr>
          <w:rFonts w:asciiTheme="minorHAnsi" w:hAnsiTheme="minorHAnsi" w:cstheme="minorHAnsi"/>
          <w:color w:val="000000"/>
        </w:rPr>
        <w:tab/>
      </w:r>
      <w:r w:rsidRPr="00FD05FD">
        <w:rPr>
          <w:rFonts w:asciiTheme="minorHAnsi" w:hAnsiTheme="minorHAnsi" w:cstheme="minorHAnsi"/>
          <w:color w:val="000000"/>
        </w:rPr>
        <w:tab/>
        <w:t>1:00pm – 4:00pm</w:t>
      </w:r>
    </w:p>
    <w:p w:rsidR="002E462E" w:rsidRPr="00FD05FD" w:rsidRDefault="002E462E" w:rsidP="002E462E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B738F0">
        <w:rPr>
          <w:rFonts w:asciiTheme="minorHAnsi" w:hAnsiTheme="minorHAnsi" w:cstheme="minorHAnsi"/>
          <w:b/>
          <w:color w:val="000000"/>
        </w:rPr>
        <w:t>Teléfono</w:t>
      </w:r>
      <w:r w:rsidRPr="00FD05FD">
        <w:rPr>
          <w:rFonts w:asciiTheme="minorHAnsi" w:hAnsiTheme="minorHAnsi" w:cstheme="minorHAnsi"/>
          <w:b/>
          <w:color w:val="000000"/>
        </w:rPr>
        <w:t>:</w:t>
      </w:r>
      <w:r w:rsidRPr="00FD05FD">
        <w:rPr>
          <w:rFonts w:asciiTheme="minorHAnsi" w:hAnsiTheme="minorHAnsi" w:cstheme="minorHAnsi"/>
          <w:color w:val="000000"/>
        </w:rPr>
        <w:tab/>
        <w:t>(787) 7</w:t>
      </w:r>
      <w:r>
        <w:rPr>
          <w:rFonts w:asciiTheme="minorHAnsi" w:hAnsiTheme="minorHAnsi" w:cstheme="minorHAnsi"/>
          <w:color w:val="000000"/>
        </w:rPr>
        <w:t>22</w:t>
      </w:r>
      <w:r w:rsidRPr="00FD05FD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>7555</w:t>
      </w:r>
    </w:p>
    <w:p w:rsidR="002E462E" w:rsidRPr="00FD05FD" w:rsidRDefault="002E462E" w:rsidP="002E462E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t>Fax:</w:t>
      </w:r>
      <w:r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="00B13461" w:rsidRPr="00B13461">
        <w:rPr>
          <w:rFonts w:cs="Calibri"/>
          <w:color w:val="000000"/>
          <w:lang w:val="es-PR"/>
        </w:rPr>
        <w:t>No disponible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8C481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09ABB0E" wp14:editId="2B06F2B6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Default="002E462E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Solicitar el servicio </w:t>
      </w:r>
      <w:r w:rsidR="00ED3EB5">
        <w:rPr>
          <w:rFonts w:cs="Arial"/>
          <w:color w:val="000000"/>
          <w:lang w:val="es-PR"/>
        </w:rPr>
        <w:t>no conlleva costo.</w:t>
      </w:r>
    </w:p>
    <w:p w:rsidR="00121B68" w:rsidRDefault="00121B68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</w:p>
    <w:p w:rsidR="00121B68" w:rsidRDefault="00121B68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</w:p>
    <w:p w:rsidR="00121B68" w:rsidRPr="00590F9C" w:rsidRDefault="00121B68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AA7143" wp14:editId="71C7DB5F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ED3EB5" w:rsidRDefault="00DB7217" w:rsidP="00ED3EB5">
      <w:pPr>
        <w:pStyle w:val="ListParagraph"/>
        <w:spacing w:before="120" w:after="120" w:line="240" w:lineRule="auto"/>
        <w:ind w:left="0"/>
        <w:rPr>
          <w:rFonts w:asciiTheme="minorHAnsi" w:hAnsiTheme="minorHAnsi" w:cstheme="minorHAnsi"/>
          <w:b/>
          <w:color w:val="000000"/>
          <w:u w:val="single"/>
          <w:lang w:val="es-PR"/>
        </w:rPr>
      </w:pPr>
      <w:r>
        <w:rPr>
          <w:rFonts w:asciiTheme="minorHAnsi" w:hAnsiTheme="minorHAnsi" w:cstheme="minorHAnsi"/>
          <w:b/>
          <w:color w:val="000000"/>
          <w:u w:val="single"/>
          <w:lang w:val="es-PR"/>
        </w:rPr>
        <w:t>Querellas radicadas personalmente en la agencia</w:t>
      </w:r>
      <w:r w:rsidR="002471C1">
        <w:rPr>
          <w:rFonts w:asciiTheme="minorHAnsi" w:hAnsiTheme="minorHAnsi" w:cstheme="minorHAnsi"/>
          <w:b/>
          <w:color w:val="000000"/>
          <w:u w:val="single"/>
          <w:lang w:val="es-PR"/>
        </w:rPr>
        <w:t>:</w:t>
      </w:r>
    </w:p>
    <w:p w:rsidR="00ED3EB5" w:rsidRDefault="00ED3EB5" w:rsidP="00ED3EB5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n</w:t>
      </w:r>
      <w:r w:rsidRPr="00ED3EB5">
        <w:rPr>
          <w:rFonts w:asciiTheme="minorHAnsi" w:hAnsiTheme="minorHAnsi" w:cstheme="minorHAnsi"/>
          <w:color w:val="000000"/>
          <w:lang w:val="es-PR"/>
        </w:rPr>
        <w:t>ombre</w:t>
      </w:r>
      <w:r>
        <w:rPr>
          <w:rFonts w:asciiTheme="minorHAnsi" w:hAnsiTheme="minorHAnsi" w:cstheme="minorHAnsi"/>
          <w:color w:val="000000"/>
          <w:lang w:val="es-PR"/>
        </w:rPr>
        <w:t xml:space="preserve"> </w:t>
      </w:r>
      <w:r w:rsidR="00DB7217">
        <w:rPr>
          <w:rFonts w:asciiTheme="minorHAnsi" w:hAnsiTheme="minorHAnsi" w:cstheme="minorHAnsi"/>
          <w:color w:val="000000"/>
          <w:lang w:val="es-PR"/>
        </w:rPr>
        <w:t>completo</w:t>
      </w:r>
    </w:p>
    <w:p w:rsidR="00ED3EB5" w:rsidRPr="00ED3EB5" w:rsidRDefault="00DB7217" w:rsidP="00ED3EB5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dos (2) números de teléfono donde lo puedan contactar</w:t>
      </w:r>
      <w:r w:rsidR="00ED3EB5" w:rsidRPr="00ED3EB5">
        <w:rPr>
          <w:rFonts w:asciiTheme="minorHAnsi" w:hAnsiTheme="minorHAnsi" w:cstheme="minorHAnsi"/>
          <w:color w:val="000000"/>
          <w:lang w:val="es-PR"/>
        </w:rPr>
        <w:t xml:space="preserve"> </w:t>
      </w:r>
    </w:p>
    <w:p w:rsidR="00DB7217" w:rsidRDefault="00DB7217" w:rsidP="00ED3EB5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 xml:space="preserve">número de </w:t>
      </w:r>
      <w:r w:rsidR="005F017C">
        <w:rPr>
          <w:rFonts w:asciiTheme="minorHAnsi" w:hAnsiTheme="minorHAnsi" w:cstheme="minorHAnsi"/>
          <w:color w:val="000000"/>
          <w:lang w:val="es-PR"/>
        </w:rPr>
        <w:t xml:space="preserve">la </w:t>
      </w:r>
      <w:r>
        <w:rPr>
          <w:rFonts w:asciiTheme="minorHAnsi" w:hAnsiTheme="minorHAnsi" w:cstheme="minorHAnsi"/>
          <w:color w:val="000000"/>
          <w:lang w:val="es-PR"/>
        </w:rPr>
        <w:t>querella</w:t>
      </w:r>
    </w:p>
    <w:p w:rsidR="002471C1" w:rsidRDefault="002471C1" w:rsidP="002471C1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f</w:t>
      </w:r>
      <w:r w:rsidRPr="005F0FEA">
        <w:rPr>
          <w:rFonts w:asciiTheme="minorHAnsi" w:hAnsiTheme="minorHAnsi" w:cstheme="minorHAnsi"/>
          <w:color w:val="000000"/>
          <w:lang w:val="es-PR"/>
        </w:rPr>
        <w:t>echa de</w:t>
      </w:r>
      <w:r>
        <w:rPr>
          <w:rFonts w:asciiTheme="minorHAnsi" w:hAnsiTheme="minorHAnsi" w:cstheme="minorHAnsi"/>
          <w:color w:val="000000"/>
          <w:lang w:val="es-PR"/>
        </w:rPr>
        <w:t xml:space="preserve"> radicación de la querella</w:t>
      </w:r>
    </w:p>
    <w:p w:rsidR="002471C1" w:rsidRDefault="002471C1" w:rsidP="002471C1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correo electrónico</w:t>
      </w:r>
    </w:p>
    <w:p w:rsidR="00366F9E" w:rsidRDefault="00366F9E" w:rsidP="00DB7217">
      <w:pPr>
        <w:pStyle w:val="ListParagraph"/>
        <w:spacing w:before="120" w:after="120" w:line="240" w:lineRule="auto"/>
        <w:ind w:left="0"/>
        <w:rPr>
          <w:rFonts w:asciiTheme="minorHAnsi" w:hAnsiTheme="minorHAnsi" w:cstheme="minorHAnsi"/>
          <w:b/>
          <w:color w:val="000000"/>
          <w:u w:val="single"/>
          <w:lang w:val="es-PR"/>
        </w:rPr>
      </w:pPr>
    </w:p>
    <w:p w:rsidR="00DB7217" w:rsidRDefault="00DB7217" w:rsidP="00DB7217">
      <w:pPr>
        <w:pStyle w:val="ListParagraph"/>
        <w:spacing w:before="120" w:after="120" w:line="240" w:lineRule="auto"/>
        <w:ind w:left="0"/>
        <w:rPr>
          <w:rFonts w:asciiTheme="minorHAnsi" w:hAnsiTheme="minorHAnsi" w:cstheme="minorHAnsi"/>
          <w:b/>
          <w:color w:val="000000"/>
          <w:u w:val="single"/>
          <w:lang w:val="es-PR"/>
        </w:rPr>
      </w:pPr>
      <w:r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Querellas radicadas </w:t>
      </w:r>
      <w:r w:rsidR="005F017C">
        <w:rPr>
          <w:rFonts w:asciiTheme="minorHAnsi" w:hAnsiTheme="minorHAnsi" w:cstheme="minorHAnsi"/>
          <w:b/>
          <w:color w:val="000000"/>
          <w:u w:val="single"/>
          <w:lang w:val="es-PR"/>
        </w:rPr>
        <w:t>por internet</w:t>
      </w:r>
      <w:r w:rsidR="002471C1">
        <w:rPr>
          <w:rFonts w:asciiTheme="minorHAnsi" w:hAnsiTheme="minorHAnsi" w:cstheme="minorHAnsi"/>
          <w:b/>
          <w:color w:val="000000"/>
          <w:u w:val="single"/>
          <w:lang w:val="es-PR"/>
        </w:rPr>
        <w:t>:</w:t>
      </w:r>
    </w:p>
    <w:p w:rsidR="00DB7217" w:rsidRPr="00B13461" w:rsidRDefault="00B13461" w:rsidP="00B13461">
      <w:pPr>
        <w:spacing w:before="120" w:after="120" w:line="240" w:lineRule="auto"/>
        <w:ind w:left="720"/>
        <w:rPr>
          <w:rFonts w:asciiTheme="minorHAnsi" w:hAnsiTheme="minorHAnsi" w:cstheme="minorHAnsi"/>
          <w:color w:val="000000"/>
          <w:lang w:val="es-PR"/>
        </w:rPr>
      </w:pPr>
      <w:r w:rsidRPr="00B13461">
        <w:rPr>
          <w:rFonts w:asciiTheme="minorHAnsi" w:hAnsiTheme="minorHAnsi" w:cstheme="minorHAnsi"/>
          <w:color w:val="000000"/>
          <w:lang w:val="es-PR"/>
        </w:rPr>
        <w:t xml:space="preserve">Toda querella radicada por internet independientemente de la fecha de la solicitud de radicación de querella, el ciudadano deberá volver a iniciar el proceso de radicación de querella en la oficina regional más cercana a su residencia.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ED3EB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6AF541" wp14:editId="1B4FA498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241A9" w:rsidRDefault="00A21371" w:rsidP="008C481C">
      <w:pPr>
        <w:pStyle w:val="ListParagraph"/>
        <w:numPr>
          <w:ilvl w:val="0"/>
          <w:numId w:val="33"/>
        </w:numPr>
        <w:spacing w:before="120" w:after="0" w:line="240" w:lineRule="auto"/>
        <w:rPr>
          <w:rFonts w:eastAsia="Times New Roman" w:cs="Arial"/>
          <w:color w:val="000000"/>
          <w:lang w:val="es-PR"/>
        </w:rPr>
      </w:pPr>
      <w:r w:rsidRPr="00B05AEE">
        <w:rPr>
          <w:rFonts w:eastAsia="Times New Roman" w:cs="Arial"/>
          <w:b/>
          <w:color w:val="000000"/>
          <w:lang w:val="es-PR"/>
        </w:rPr>
        <w:t xml:space="preserve">¿Por qué el </w:t>
      </w:r>
      <w:r w:rsidR="002471C1">
        <w:rPr>
          <w:rFonts w:eastAsia="Times New Roman" w:cs="Arial"/>
          <w:b/>
          <w:color w:val="000000"/>
          <w:lang w:val="es-PR"/>
        </w:rPr>
        <w:t xml:space="preserve">Servicio </w:t>
      </w:r>
      <w:r w:rsidRPr="00B05AEE">
        <w:rPr>
          <w:rFonts w:eastAsia="Times New Roman" w:cs="Arial"/>
          <w:b/>
          <w:color w:val="000000"/>
          <w:lang w:val="es-PR"/>
        </w:rPr>
        <w:t>3-1-1 no puede proveer información de las querellas radicadas directamente en el DACO o por internet?</w:t>
      </w:r>
      <w:r>
        <w:rPr>
          <w:rFonts w:eastAsia="Times New Roman" w:cs="Arial"/>
          <w:color w:val="000000"/>
          <w:lang w:val="es-PR"/>
        </w:rPr>
        <w:t xml:space="preserve"> Porque esas querellas no se </w:t>
      </w:r>
      <w:r w:rsidR="002471C1">
        <w:rPr>
          <w:rFonts w:eastAsia="Times New Roman" w:cs="Arial"/>
          <w:color w:val="000000"/>
          <w:lang w:val="es-PR"/>
        </w:rPr>
        <w:t>registran ni se actualizan en el</w:t>
      </w:r>
      <w:r>
        <w:rPr>
          <w:rFonts w:eastAsia="Times New Roman" w:cs="Arial"/>
          <w:color w:val="000000"/>
          <w:lang w:val="es-PR"/>
        </w:rPr>
        <w:t xml:space="preserve"> Sistema de Manejo de Casos del 3-1-1 y por tal razón</w:t>
      </w:r>
      <w:r w:rsidR="002471C1">
        <w:rPr>
          <w:rFonts w:eastAsia="Times New Roman" w:cs="Arial"/>
          <w:color w:val="000000"/>
          <w:lang w:val="es-PR"/>
        </w:rPr>
        <w:t xml:space="preserve">, </w:t>
      </w:r>
      <w:r w:rsidR="008C481C">
        <w:rPr>
          <w:rFonts w:eastAsia="Times New Roman" w:cs="Arial"/>
          <w:color w:val="000000"/>
          <w:lang w:val="es-PR"/>
        </w:rPr>
        <w:t>el operador no puede acceder a las querellas.</w:t>
      </w:r>
    </w:p>
    <w:p w:rsidR="002471C1" w:rsidRPr="00963557" w:rsidRDefault="002471C1" w:rsidP="008C481C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¿Cómo es el proceso una vez se radica una querella en el Departamento de Asuntos del Consumidor?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 El Departamento de Asuntos del Consumidor investiga las 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alegaciones y evidencias de las 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>partes relacionadas en busca de una solución al problema o situación y en caso de no resolverse, se cita a una vista administrativa donde se adjudica el caso y se establece una resolución final.  Si hay incumplimiento por parte del querellado, la División de Litigios radica una acción ante el Tribunal de Primera Instancia para hacer cumplir la orden.</w:t>
      </w:r>
    </w:p>
    <w:p w:rsidR="002471C1" w:rsidRPr="002471C1" w:rsidRDefault="002471C1" w:rsidP="008C481C">
      <w:pPr>
        <w:pStyle w:val="NormalWeb"/>
        <w:numPr>
          <w:ilvl w:val="0"/>
          <w:numId w:val="33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¿Cuánto tiempo  toma el proceso desde la radicación hasta la resolución de la situación de la querella?  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Una vez iniciado el proceso el querellado tiene veinte (20) días para contestar la querella. Cada querella tiene sus propias particularidades por lo que el proceso puede tomar 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de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ciento veinte (120) días a ciento ochenta (180) días aproximadamente.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2137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AE965D" wp14:editId="68CB50C3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ED3EB5" w:rsidRPr="005F017C" w:rsidRDefault="005F017C" w:rsidP="00ED3EB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r w:rsidRPr="005F017C">
        <w:rPr>
          <w:lang w:val="es-PR"/>
        </w:rPr>
        <w:t xml:space="preserve">Página Web del Departamento de Asuntos del Consumidor – </w:t>
      </w:r>
      <w:hyperlink r:id="rId22" w:history="1">
        <w:r w:rsidRPr="006C2486">
          <w:rPr>
            <w:rStyle w:val="Hyperlink"/>
            <w:lang w:val="es-PR"/>
          </w:rPr>
          <w:t>http://www.daco.gobierno.pr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ED3EB5" w:rsidRPr="00FD05FD" w:rsidTr="00956685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D3EB5" w:rsidRPr="00FD05FD" w:rsidRDefault="00ED3EB5" w:rsidP="0095668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D700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764DA6A" wp14:editId="531BFAEF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D3EB5" w:rsidRPr="00FD05FD" w:rsidRDefault="00ED3EB5" w:rsidP="00956685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ED3EB5" w:rsidRDefault="00ED3EB5" w:rsidP="00ED3EB5">
      <w:pPr>
        <w:spacing w:before="120" w:after="0" w:line="240" w:lineRule="auto"/>
        <w:rPr>
          <w:lang w:val="es-ES_tradnl"/>
        </w:rPr>
      </w:pPr>
      <w:r w:rsidRPr="002026C3">
        <w:rPr>
          <w:lang w:val="es-ES_tradnl"/>
        </w:rPr>
        <w:t>Faceboo</w:t>
      </w:r>
      <w:r>
        <w:rPr>
          <w:lang w:val="es-ES_tradnl"/>
        </w:rPr>
        <w:t>k: DACO A TU FAVOR</w:t>
      </w:r>
    </w:p>
    <w:p w:rsidR="00ED3EB5" w:rsidRDefault="00ED3EB5" w:rsidP="00ED3EB5">
      <w:pPr>
        <w:spacing w:after="0" w:line="240" w:lineRule="auto"/>
        <w:rPr>
          <w:lang w:val="es-ES_tradnl"/>
        </w:rPr>
      </w:pPr>
      <w:r w:rsidRPr="002026C3">
        <w:t>Instagram</w:t>
      </w:r>
      <w:r>
        <w:rPr>
          <w:lang w:val="es-ES_tradnl"/>
        </w:rPr>
        <w:t>: dacoatufavor</w:t>
      </w:r>
    </w:p>
    <w:p w:rsidR="00ED3EB5" w:rsidRDefault="00ED3EB5" w:rsidP="00ED3EB5">
      <w:pPr>
        <w:spacing w:after="0" w:line="240" w:lineRule="auto"/>
        <w:rPr>
          <w:lang w:val="es-ES_tradnl"/>
        </w:rPr>
      </w:pPr>
      <w:r>
        <w:rPr>
          <w:lang w:val="es-ES_tradnl"/>
        </w:rPr>
        <w:t>Twitter: @dacoatufavor</w:t>
      </w:r>
    </w:p>
    <w:p w:rsidR="0093666D" w:rsidRPr="0093666D" w:rsidRDefault="00ED3EB5" w:rsidP="00ED3EB5">
      <w:pPr>
        <w:spacing w:after="0" w:line="240" w:lineRule="auto"/>
        <w:rPr>
          <w:lang w:val="es-ES_tradnl"/>
        </w:rPr>
      </w:pPr>
      <w:r>
        <w:rPr>
          <w:lang w:val="es-ES_tradnl"/>
        </w:rPr>
        <w:t>YouTube: DACO A TU FAVOR</w:t>
      </w:r>
    </w:p>
    <w:sectPr w:rsidR="0093666D" w:rsidRPr="0093666D" w:rsidSect="00D3407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79" w:rsidRDefault="00A93079" w:rsidP="005501A9">
      <w:pPr>
        <w:spacing w:after="0" w:line="240" w:lineRule="auto"/>
      </w:pPr>
      <w:r>
        <w:separator/>
      </w:r>
    </w:p>
  </w:endnote>
  <w:endnote w:type="continuationSeparator" w:id="0">
    <w:p w:rsidR="00A93079" w:rsidRDefault="00A9307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92" w:rsidRDefault="00DA29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77111728" wp14:editId="65B24354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1455C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2CDD9A4" wp14:editId="2E23202D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F4262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F4262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Default="00CF03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92" w:rsidRDefault="00DA2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79" w:rsidRDefault="00A93079" w:rsidP="005501A9">
      <w:pPr>
        <w:spacing w:after="0" w:line="240" w:lineRule="auto"/>
      </w:pPr>
      <w:r>
        <w:separator/>
      </w:r>
    </w:p>
  </w:footnote>
  <w:footnote w:type="continuationSeparator" w:id="0">
    <w:p w:rsidR="00A93079" w:rsidRDefault="00A9307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92" w:rsidRDefault="00DA29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B1455C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F53C9A" wp14:editId="5B2298BD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2992" w:rsidRDefault="00DA2992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DACO-012</w:t>
                          </w:r>
                        </w:p>
                        <w:p w:rsidR="00CF03B8" w:rsidRPr="00815B23" w:rsidRDefault="00DA2992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16-dec-13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DA2992" w:rsidRDefault="00DA2992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DACO-012</w:t>
                    </w:r>
                  </w:p>
                  <w:p w:rsidR="00CF03B8" w:rsidRPr="00815B23" w:rsidRDefault="00DA2992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16-dec-13</w:t>
                    </w:r>
                  </w:p>
                </w:txbxContent>
              </v:textbox>
            </v:shape>
          </w:pict>
        </mc:Fallback>
      </mc:AlternateContent>
    </w:r>
    <w:r w:rsidR="00B519E7">
      <w:rPr>
        <w:sz w:val="32"/>
        <w:szCs w:val="32"/>
        <w:lang w:val="es-PR"/>
      </w:rPr>
      <w:t>Departamento de Asuntos del Consumidor (DACO)</w:t>
    </w:r>
    <w:r w:rsidR="00576109">
      <w:rPr>
        <w:sz w:val="32"/>
        <w:szCs w:val="32"/>
        <w:lang w:val="es-PR"/>
      </w:rPr>
      <w:tab/>
    </w:r>
  </w:p>
  <w:p w:rsidR="00CF03B8" w:rsidRPr="00B519E7" w:rsidRDefault="00B519E7" w:rsidP="00BC0EC0">
    <w:pPr>
      <w:spacing w:after="12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 w:rsidRPr="00B519E7">
      <w:rPr>
        <w:rFonts w:asciiTheme="minorHAnsi" w:hAnsiTheme="minorHAnsi" w:cstheme="minorHAnsi"/>
        <w:b/>
        <w:sz w:val="28"/>
        <w:szCs w:val="28"/>
        <w:lang w:val="es-PR"/>
      </w:rPr>
      <w:t>Estatus</w:t>
    </w:r>
    <w:r>
      <w:rPr>
        <w:rFonts w:asciiTheme="minorHAnsi" w:hAnsiTheme="minorHAnsi" w:cstheme="minorHAnsi"/>
        <w:b/>
        <w:sz w:val="28"/>
        <w:szCs w:val="28"/>
        <w:lang w:val="es-PR"/>
      </w:rPr>
      <w:t xml:space="preserve"> de Querellas ante el DACO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92" w:rsidRDefault="00DA29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3C1850"/>
    <w:multiLevelType w:val="hybridMultilevel"/>
    <w:tmpl w:val="C6DE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F61101"/>
    <w:multiLevelType w:val="hybridMultilevel"/>
    <w:tmpl w:val="2AD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044AC"/>
    <w:multiLevelType w:val="hybridMultilevel"/>
    <w:tmpl w:val="6248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63EC7"/>
    <w:multiLevelType w:val="hybridMultilevel"/>
    <w:tmpl w:val="57A0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A2B34AE"/>
    <w:multiLevelType w:val="hybridMultilevel"/>
    <w:tmpl w:val="779C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7"/>
  </w:num>
  <w:num w:numId="3">
    <w:abstractNumId w:val="29"/>
  </w:num>
  <w:num w:numId="4">
    <w:abstractNumId w:val="33"/>
  </w:num>
  <w:num w:numId="5">
    <w:abstractNumId w:val="19"/>
  </w:num>
  <w:num w:numId="6">
    <w:abstractNumId w:val="15"/>
  </w:num>
  <w:num w:numId="7">
    <w:abstractNumId w:val="22"/>
  </w:num>
  <w:num w:numId="8">
    <w:abstractNumId w:val="13"/>
  </w:num>
  <w:num w:numId="9">
    <w:abstractNumId w:val="25"/>
  </w:num>
  <w:num w:numId="10">
    <w:abstractNumId w:val="12"/>
  </w:num>
  <w:num w:numId="11">
    <w:abstractNumId w:val="1"/>
  </w:num>
  <w:num w:numId="12">
    <w:abstractNumId w:val="32"/>
  </w:num>
  <w:num w:numId="13">
    <w:abstractNumId w:val="4"/>
  </w:num>
  <w:num w:numId="14">
    <w:abstractNumId w:val="26"/>
  </w:num>
  <w:num w:numId="15">
    <w:abstractNumId w:val="7"/>
  </w:num>
  <w:num w:numId="16">
    <w:abstractNumId w:val="21"/>
  </w:num>
  <w:num w:numId="17">
    <w:abstractNumId w:val="6"/>
  </w:num>
  <w:num w:numId="18">
    <w:abstractNumId w:val="24"/>
  </w:num>
  <w:num w:numId="19">
    <w:abstractNumId w:val="16"/>
  </w:num>
  <w:num w:numId="20">
    <w:abstractNumId w:val="23"/>
  </w:num>
  <w:num w:numId="21">
    <w:abstractNumId w:val="14"/>
  </w:num>
  <w:num w:numId="22">
    <w:abstractNumId w:val="2"/>
  </w:num>
  <w:num w:numId="23">
    <w:abstractNumId w:val="30"/>
  </w:num>
  <w:num w:numId="24">
    <w:abstractNumId w:val="31"/>
  </w:num>
  <w:num w:numId="25">
    <w:abstractNumId w:val="11"/>
  </w:num>
  <w:num w:numId="26">
    <w:abstractNumId w:val="0"/>
  </w:num>
  <w:num w:numId="27">
    <w:abstractNumId w:val="20"/>
  </w:num>
  <w:num w:numId="28">
    <w:abstractNumId w:val="18"/>
  </w:num>
  <w:num w:numId="29">
    <w:abstractNumId w:val="17"/>
  </w:num>
  <w:num w:numId="30">
    <w:abstractNumId w:val="10"/>
  </w:num>
  <w:num w:numId="31">
    <w:abstractNumId w:val="28"/>
  </w:num>
  <w:num w:numId="32">
    <w:abstractNumId w:val="9"/>
  </w:num>
  <w:num w:numId="33">
    <w:abstractNumId w:val="3"/>
  </w:num>
  <w:num w:numId="34">
    <w:abstractNumId w:val="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E7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E4EC2"/>
    <w:rsid w:val="000F40B6"/>
    <w:rsid w:val="000F7989"/>
    <w:rsid w:val="00101F32"/>
    <w:rsid w:val="0011279C"/>
    <w:rsid w:val="001143FE"/>
    <w:rsid w:val="00121B68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0712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0292"/>
    <w:rsid w:val="001B4194"/>
    <w:rsid w:val="001B5E3B"/>
    <w:rsid w:val="001B5E79"/>
    <w:rsid w:val="001B6C87"/>
    <w:rsid w:val="001C147E"/>
    <w:rsid w:val="001C2D5F"/>
    <w:rsid w:val="001C4B1B"/>
    <w:rsid w:val="001C7A01"/>
    <w:rsid w:val="001D1D50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471C1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F33"/>
    <w:rsid w:val="002C1753"/>
    <w:rsid w:val="002D1E0C"/>
    <w:rsid w:val="002D3544"/>
    <w:rsid w:val="002D3658"/>
    <w:rsid w:val="002D79F3"/>
    <w:rsid w:val="002E462E"/>
    <w:rsid w:val="002F030A"/>
    <w:rsid w:val="002F38A5"/>
    <w:rsid w:val="0030058C"/>
    <w:rsid w:val="003017A1"/>
    <w:rsid w:val="00303BF4"/>
    <w:rsid w:val="00306286"/>
    <w:rsid w:val="00307F9A"/>
    <w:rsid w:val="00312D14"/>
    <w:rsid w:val="00314199"/>
    <w:rsid w:val="0033701A"/>
    <w:rsid w:val="00344E42"/>
    <w:rsid w:val="003556DB"/>
    <w:rsid w:val="00362B7B"/>
    <w:rsid w:val="0036675A"/>
    <w:rsid w:val="00366F9E"/>
    <w:rsid w:val="00370141"/>
    <w:rsid w:val="003816B5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C545F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17C"/>
    <w:rsid w:val="005F07EB"/>
    <w:rsid w:val="005F1209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70FF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2486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6116F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8C481C"/>
    <w:rsid w:val="008F34D6"/>
    <w:rsid w:val="008F4262"/>
    <w:rsid w:val="00910F3B"/>
    <w:rsid w:val="00916D37"/>
    <w:rsid w:val="00917173"/>
    <w:rsid w:val="009177F5"/>
    <w:rsid w:val="00920F3A"/>
    <w:rsid w:val="00924F05"/>
    <w:rsid w:val="00933418"/>
    <w:rsid w:val="0093666D"/>
    <w:rsid w:val="00944CF3"/>
    <w:rsid w:val="00951825"/>
    <w:rsid w:val="00953728"/>
    <w:rsid w:val="00963FB9"/>
    <w:rsid w:val="0097559D"/>
    <w:rsid w:val="00976BD9"/>
    <w:rsid w:val="00983F08"/>
    <w:rsid w:val="009A1AB5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132E2"/>
    <w:rsid w:val="00A15EFF"/>
    <w:rsid w:val="00A21371"/>
    <w:rsid w:val="00A25135"/>
    <w:rsid w:val="00A26F7F"/>
    <w:rsid w:val="00A271A0"/>
    <w:rsid w:val="00A5086B"/>
    <w:rsid w:val="00A60B6E"/>
    <w:rsid w:val="00A625BF"/>
    <w:rsid w:val="00A633B9"/>
    <w:rsid w:val="00A64429"/>
    <w:rsid w:val="00A64584"/>
    <w:rsid w:val="00A67769"/>
    <w:rsid w:val="00A7330F"/>
    <w:rsid w:val="00A7361C"/>
    <w:rsid w:val="00A73A7D"/>
    <w:rsid w:val="00A85737"/>
    <w:rsid w:val="00A877BD"/>
    <w:rsid w:val="00A87E54"/>
    <w:rsid w:val="00A902C1"/>
    <w:rsid w:val="00A93079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05AEE"/>
    <w:rsid w:val="00B13461"/>
    <w:rsid w:val="00B1455C"/>
    <w:rsid w:val="00B26E30"/>
    <w:rsid w:val="00B34D73"/>
    <w:rsid w:val="00B45ED1"/>
    <w:rsid w:val="00B51703"/>
    <w:rsid w:val="00B519E7"/>
    <w:rsid w:val="00B65025"/>
    <w:rsid w:val="00B671BF"/>
    <w:rsid w:val="00B738F0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0EC0"/>
    <w:rsid w:val="00BC361C"/>
    <w:rsid w:val="00BE20DD"/>
    <w:rsid w:val="00BE3BA3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F03B8"/>
    <w:rsid w:val="00CF2784"/>
    <w:rsid w:val="00CF6CE6"/>
    <w:rsid w:val="00D06C9C"/>
    <w:rsid w:val="00D17B23"/>
    <w:rsid w:val="00D22047"/>
    <w:rsid w:val="00D33863"/>
    <w:rsid w:val="00D34073"/>
    <w:rsid w:val="00D42014"/>
    <w:rsid w:val="00D57B36"/>
    <w:rsid w:val="00D7198C"/>
    <w:rsid w:val="00D72227"/>
    <w:rsid w:val="00D90302"/>
    <w:rsid w:val="00D97047"/>
    <w:rsid w:val="00DA2992"/>
    <w:rsid w:val="00DA5FE2"/>
    <w:rsid w:val="00DA69B9"/>
    <w:rsid w:val="00DB009A"/>
    <w:rsid w:val="00DB20A5"/>
    <w:rsid w:val="00DB63E7"/>
    <w:rsid w:val="00DB7217"/>
    <w:rsid w:val="00DB7E70"/>
    <w:rsid w:val="00DC25B7"/>
    <w:rsid w:val="00DC7A7E"/>
    <w:rsid w:val="00DD55E4"/>
    <w:rsid w:val="00DD6814"/>
    <w:rsid w:val="00DE0030"/>
    <w:rsid w:val="00DE184B"/>
    <w:rsid w:val="00DE2437"/>
    <w:rsid w:val="00DF27A7"/>
    <w:rsid w:val="00DF3477"/>
    <w:rsid w:val="00E05B59"/>
    <w:rsid w:val="00E101F1"/>
    <w:rsid w:val="00E14EC8"/>
    <w:rsid w:val="00E169B7"/>
    <w:rsid w:val="00E263A1"/>
    <w:rsid w:val="00E27EA1"/>
    <w:rsid w:val="00E366B6"/>
    <w:rsid w:val="00E36B79"/>
    <w:rsid w:val="00E53D05"/>
    <w:rsid w:val="00E62823"/>
    <w:rsid w:val="00E65EC2"/>
    <w:rsid w:val="00E67805"/>
    <w:rsid w:val="00E94C68"/>
    <w:rsid w:val="00EB10E1"/>
    <w:rsid w:val="00EB7ACD"/>
    <w:rsid w:val="00EC0600"/>
    <w:rsid w:val="00ED3EB5"/>
    <w:rsid w:val="00EE0ADA"/>
    <w:rsid w:val="00EE130A"/>
    <w:rsid w:val="00EE3A06"/>
    <w:rsid w:val="00EE489A"/>
    <w:rsid w:val="00F028E3"/>
    <w:rsid w:val="00F05AE7"/>
    <w:rsid w:val="00F10880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73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8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8F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73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8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8F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%20(DACO)/DACO-000-Directorio%20de%20Agencia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aco.gobierno.p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z12233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2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397DF-1242-40E9-9036-367170214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F819B-DCAF-489B-9791-3F8DEDEFB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59DA1-0972-493D-84E1-A272D5FDABA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4D0579B2-169C-4604-9767-06BA63F0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69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Estatus de querellas ante el DACO</dc:title>
  <dc:subject>Servicio</dc:subject>
  <dc:creator>3-1-1 Tu Línea de Servicios de Gobierno</dc:creator>
  <cp:keywords>DACO</cp:keywords>
  <cp:lastModifiedBy>respondadmin</cp:lastModifiedBy>
  <cp:revision>12</cp:revision>
  <cp:lastPrinted>2013-12-16T19:13:00Z</cp:lastPrinted>
  <dcterms:created xsi:type="dcterms:W3CDTF">2013-12-16T16:37:00Z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