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D9042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D90427" w:rsidRDefault="0049566C" w:rsidP="00D90427">
            <w:pPr>
              <w:pStyle w:val="NormalWeb"/>
              <w:spacing w:before="0" w:beforeAutospacing="0" w:after="0" w:afterAutospacing="0"/>
              <w:jc w:val="both"/>
              <w:rPr>
                <w:rFonts w:ascii="Verdana" w:hAnsi="Verdana" w:cs="Arial"/>
                <w:color w:val="000000"/>
                <w:sz w:val="28"/>
                <w:szCs w:val="28"/>
                <w:lang w:val="es-PR"/>
              </w:rPr>
            </w:pPr>
            <w:bookmarkStart w:id="0" w:name="_GoBack"/>
            <w:bookmarkEnd w:id="0"/>
            <w:r w:rsidRPr="00D90427">
              <w:rPr>
                <w:b/>
                <w:noProof/>
                <w:sz w:val="28"/>
                <w:szCs w:val="28"/>
              </w:rPr>
              <w:drawing>
                <wp:inline distT="0" distB="0" distL="0" distR="0" wp14:anchorId="7A41F950" wp14:editId="500660E1">
                  <wp:extent cx="267335" cy="276225"/>
                  <wp:effectExtent l="19050" t="0" r="0" b="0"/>
                  <wp:docPr id="18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D90427" w:rsidRDefault="0049566C" w:rsidP="00D90427">
            <w:pPr>
              <w:spacing w:after="0" w:line="240" w:lineRule="auto"/>
              <w:jc w:val="both"/>
              <w:rPr>
                <w:rFonts w:asciiTheme="minorHAnsi" w:eastAsiaTheme="minorHAnsi" w:hAnsiTheme="minorHAnsi" w:cstheme="minorBidi"/>
                <w:b/>
                <w:sz w:val="28"/>
                <w:szCs w:val="28"/>
                <w:lang w:val="es-PR"/>
              </w:rPr>
            </w:pPr>
            <w:r w:rsidRPr="00D90427">
              <w:rPr>
                <w:rFonts w:asciiTheme="minorHAnsi" w:eastAsiaTheme="minorHAnsi" w:hAnsiTheme="minorHAnsi" w:cstheme="minorBidi"/>
                <w:b/>
                <w:sz w:val="28"/>
                <w:szCs w:val="28"/>
                <w:lang w:val="es-PR"/>
              </w:rPr>
              <w:t xml:space="preserve">Descripción del Servicio </w:t>
            </w:r>
          </w:p>
        </w:tc>
      </w:tr>
    </w:tbl>
    <w:p w:rsidR="0049566C" w:rsidRPr="00EE056C" w:rsidRDefault="0049566C" w:rsidP="00D90427">
      <w:pPr>
        <w:pStyle w:val="NormalWeb"/>
        <w:spacing w:before="120" w:beforeAutospacing="0" w:after="120" w:afterAutospacing="0"/>
        <w:jc w:val="both"/>
        <w:rPr>
          <w:rFonts w:asciiTheme="minorHAnsi" w:hAnsiTheme="minorHAnsi" w:cstheme="minorHAnsi"/>
          <w:color w:val="000000"/>
          <w:sz w:val="22"/>
          <w:szCs w:val="22"/>
          <w:lang w:val="es-PR"/>
        </w:rPr>
      </w:pPr>
      <w:r w:rsidRPr="00EE056C">
        <w:rPr>
          <w:rFonts w:asciiTheme="minorHAnsi" w:hAnsiTheme="minorHAnsi" w:cstheme="minorHAnsi"/>
          <w:noProof/>
          <w:color w:val="000000"/>
          <w:sz w:val="22"/>
          <w:szCs w:val="22"/>
          <w:lang w:val="es-PR"/>
        </w:rPr>
        <w:t>La Comisión Apelativa del Servicio Público</w:t>
      </w:r>
      <w:r w:rsidR="009705DE" w:rsidRPr="00EE056C">
        <w:rPr>
          <w:rFonts w:asciiTheme="minorHAnsi" w:hAnsiTheme="minorHAnsi" w:cstheme="minorHAnsi"/>
          <w:noProof/>
          <w:color w:val="000000"/>
          <w:sz w:val="22"/>
          <w:szCs w:val="22"/>
          <w:lang w:val="es-PR"/>
        </w:rPr>
        <w:t xml:space="preserve"> (CASP)</w:t>
      </w:r>
      <w:r w:rsidRPr="00EE056C">
        <w:rPr>
          <w:rFonts w:asciiTheme="minorHAnsi" w:hAnsiTheme="minorHAnsi" w:cstheme="minorHAnsi"/>
          <w:noProof/>
          <w:color w:val="000000"/>
          <w:sz w:val="22"/>
          <w:szCs w:val="22"/>
          <w:lang w:val="es-PR"/>
        </w:rPr>
        <w:t xml:space="preserve"> se ocupa de proveer un foro administrativo adjudicativo cuasi-judicial consolidado especializado en asuntos obrero-patronales y del principio de mérito para dilucidar</w:t>
      </w:r>
      <w:r w:rsidR="00EE056C">
        <w:rPr>
          <w:rFonts w:asciiTheme="minorHAnsi" w:hAnsiTheme="minorHAnsi" w:cstheme="minorHAnsi"/>
          <w:noProof/>
          <w:color w:val="000000"/>
          <w:sz w:val="22"/>
          <w:szCs w:val="22"/>
          <w:lang w:val="es-PR"/>
        </w:rPr>
        <w:t>(declarar y explicar un asunto)</w:t>
      </w:r>
      <w:r w:rsidRPr="00EE056C">
        <w:rPr>
          <w:rFonts w:asciiTheme="minorHAnsi" w:hAnsiTheme="minorHAnsi" w:cstheme="minorHAnsi"/>
          <w:noProof/>
          <w:color w:val="000000"/>
          <w:sz w:val="22"/>
          <w:szCs w:val="22"/>
          <w:lang w:val="es-PR"/>
        </w:rPr>
        <w:t xml:space="preserve"> y resolver controversias que surjan de la interpretación de la administración de recursos humanos, negociación colectiva, convenios colectivos y los derechos de empleados miembros de organizaciones laborales a empleados públicos del gobierno central, municipios o ciudadanos aspirantes a ingreso en el gobierno. A su vez, desarrollar e implantar la política pública </w:t>
      </w:r>
      <w:r w:rsidR="00EE056C">
        <w:rPr>
          <w:rFonts w:asciiTheme="minorHAnsi" w:hAnsiTheme="minorHAnsi" w:cstheme="minorHAnsi"/>
          <w:noProof/>
          <w:color w:val="000000"/>
          <w:sz w:val="22"/>
          <w:szCs w:val="22"/>
          <w:lang w:val="es-PR"/>
        </w:rPr>
        <w:t>en torno a la organización de</w:t>
      </w:r>
      <w:r w:rsidRPr="00EE056C">
        <w:rPr>
          <w:rFonts w:asciiTheme="minorHAnsi" w:hAnsiTheme="minorHAnsi" w:cstheme="minorHAnsi"/>
          <w:noProof/>
          <w:color w:val="000000"/>
          <w:sz w:val="22"/>
          <w:szCs w:val="22"/>
          <w:lang w:val="es-PR"/>
        </w:rPr>
        <w:t xml:space="preserve"> empleados en sindicatos en el sector público.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F6317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EE056C" w:rsidRDefault="0049566C" w:rsidP="00D90427">
            <w:pPr>
              <w:pStyle w:val="NormalWeb"/>
              <w:spacing w:before="0" w:beforeAutospacing="0" w:after="0" w:afterAutospacing="0"/>
              <w:jc w:val="both"/>
              <w:rPr>
                <w:rFonts w:asciiTheme="minorHAnsi" w:hAnsiTheme="minorHAnsi" w:cstheme="minorHAnsi"/>
                <w:color w:val="000000"/>
                <w:sz w:val="28"/>
                <w:szCs w:val="28"/>
                <w:lang w:val="es-PR"/>
              </w:rPr>
            </w:pPr>
            <w:r w:rsidRPr="00EE056C">
              <w:rPr>
                <w:rFonts w:asciiTheme="minorHAnsi" w:hAnsiTheme="minorHAnsi" w:cstheme="minorHAnsi"/>
                <w:noProof/>
                <w:sz w:val="28"/>
                <w:szCs w:val="28"/>
              </w:rPr>
              <w:drawing>
                <wp:inline distT="0" distB="0" distL="0" distR="0" wp14:anchorId="11193B9D" wp14:editId="1010B3EE">
                  <wp:extent cx="276225" cy="276225"/>
                  <wp:effectExtent l="19050" t="0" r="9525" b="0"/>
                  <wp:docPr id="18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EE056C" w:rsidRDefault="0049566C" w:rsidP="00D90427">
            <w:pPr>
              <w:spacing w:after="0" w:line="240" w:lineRule="auto"/>
              <w:jc w:val="both"/>
              <w:rPr>
                <w:rFonts w:asciiTheme="minorHAnsi" w:eastAsiaTheme="minorHAnsi" w:hAnsiTheme="minorHAnsi" w:cstheme="minorHAnsi"/>
                <w:b/>
                <w:sz w:val="28"/>
                <w:szCs w:val="28"/>
                <w:lang w:val="es-PR"/>
              </w:rPr>
            </w:pPr>
            <w:r w:rsidRPr="00EE056C">
              <w:rPr>
                <w:rFonts w:asciiTheme="minorHAnsi" w:eastAsiaTheme="minorHAnsi" w:hAnsiTheme="minorHAnsi" w:cstheme="minorHAnsi"/>
                <w:b/>
                <w:sz w:val="28"/>
                <w:szCs w:val="28"/>
                <w:lang w:val="es-PR"/>
              </w:rPr>
              <w:t xml:space="preserve">Lugar y Horario de Servicio </w:t>
            </w:r>
          </w:p>
        </w:tc>
      </w:tr>
    </w:tbl>
    <w:p w:rsidR="0049566C" w:rsidRPr="00EE056C" w:rsidRDefault="002A5AE3" w:rsidP="00D90427">
      <w:pPr>
        <w:shd w:val="clear" w:color="auto" w:fill="FFFFFF"/>
        <w:spacing w:before="120" w:after="120" w:line="240" w:lineRule="auto"/>
        <w:jc w:val="both"/>
        <w:rPr>
          <w:rFonts w:asciiTheme="minorHAnsi" w:hAnsiTheme="minorHAnsi" w:cstheme="minorHAnsi"/>
          <w:color w:val="000000"/>
          <w:lang w:val="es-PR"/>
        </w:rPr>
      </w:pPr>
      <w:hyperlink r:id="rId14" w:history="1">
        <w:r w:rsidR="0049566C" w:rsidRPr="00EE056C">
          <w:rPr>
            <w:rStyle w:val="Hyperlink"/>
            <w:rFonts w:asciiTheme="minorHAnsi" w:hAnsiTheme="minorHAnsi" w:cstheme="minorHAnsi"/>
            <w:lang w:val="es-PR"/>
          </w:rPr>
          <w:t xml:space="preserve">Directorio de </w:t>
        </w:r>
        <w:r w:rsidR="0049566C" w:rsidRPr="00EE056C">
          <w:rPr>
            <w:rStyle w:val="Hyperlink"/>
            <w:rFonts w:asciiTheme="minorHAnsi" w:hAnsiTheme="minorHAnsi" w:cstheme="minorHAnsi"/>
            <w:noProof/>
            <w:lang w:val="es-PR"/>
          </w:rPr>
          <w:t>CASP</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EE056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EE056C" w:rsidRDefault="0049566C" w:rsidP="00D90427">
            <w:pPr>
              <w:pStyle w:val="NormalWeb"/>
              <w:spacing w:before="0" w:beforeAutospacing="0" w:after="0" w:afterAutospacing="0"/>
              <w:jc w:val="both"/>
              <w:rPr>
                <w:rFonts w:asciiTheme="minorHAnsi" w:hAnsiTheme="minorHAnsi" w:cstheme="minorHAnsi"/>
                <w:color w:val="000000"/>
                <w:sz w:val="28"/>
                <w:szCs w:val="28"/>
                <w:lang w:val="es-PR"/>
              </w:rPr>
            </w:pPr>
            <w:r w:rsidRPr="00EE056C">
              <w:rPr>
                <w:rFonts w:asciiTheme="minorHAnsi" w:hAnsiTheme="minorHAnsi" w:cstheme="minorHAnsi"/>
                <w:noProof/>
                <w:sz w:val="28"/>
                <w:szCs w:val="28"/>
              </w:rPr>
              <w:drawing>
                <wp:inline distT="0" distB="0" distL="0" distR="0" wp14:anchorId="6BD36648" wp14:editId="2807DA89">
                  <wp:extent cx="276225" cy="276225"/>
                  <wp:effectExtent l="19050" t="0" r="9525" b="0"/>
                  <wp:docPr id="18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EE056C">
              <w:rPr>
                <w:rFonts w:asciiTheme="minorHAnsi" w:hAnsiTheme="minorHAnsi" w:cstheme="minorHAnsi"/>
                <w:color w:val="000000"/>
                <w:sz w:val="28"/>
                <w:szCs w:val="28"/>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EE056C" w:rsidRDefault="0049566C" w:rsidP="00D90427">
            <w:pPr>
              <w:spacing w:after="0" w:line="240" w:lineRule="auto"/>
              <w:jc w:val="both"/>
              <w:rPr>
                <w:rFonts w:asciiTheme="minorHAnsi" w:eastAsiaTheme="minorHAnsi" w:hAnsiTheme="minorHAnsi" w:cstheme="minorHAnsi"/>
                <w:b/>
                <w:sz w:val="28"/>
                <w:szCs w:val="28"/>
                <w:lang w:val="es-PR"/>
              </w:rPr>
            </w:pPr>
            <w:r w:rsidRPr="00EE056C">
              <w:rPr>
                <w:rFonts w:asciiTheme="minorHAnsi" w:eastAsiaTheme="minorHAnsi" w:hAnsiTheme="minorHAnsi" w:cstheme="minorHAnsi"/>
                <w:b/>
                <w:sz w:val="28"/>
                <w:szCs w:val="28"/>
                <w:lang w:val="es-PR"/>
              </w:rPr>
              <w:t>Preguntas Frecuentes</w:t>
            </w:r>
          </w:p>
        </w:tc>
      </w:tr>
    </w:tbl>
    <w:p w:rsidR="007F3B98" w:rsidRPr="00EE056C" w:rsidRDefault="007F3B98" w:rsidP="007F3B98">
      <w:pPr>
        <w:spacing w:before="120" w:after="120" w:line="240" w:lineRule="auto"/>
        <w:jc w:val="both"/>
        <w:rPr>
          <w:rFonts w:asciiTheme="minorHAnsi" w:eastAsia="Times New Roman" w:hAnsiTheme="minorHAnsi" w:cstheme="minorHAnsi"/>
          <w:color w:val="000000"/>
          <w:lang w:val="es-PR"/>
        </w:rPr>
      </w:pPr>
      <w:r w:rsidRPr="00EE056C">
        <w:rPr>
          <w:rFonts w:asciiTheme="minorHAnsi" w:eastAsia="Times New Roman" w:hAnsiTheme="minorHAnsi" w:cstheme="minorHAnsi"/>
          <w:color w:val="000000"/>
          <w:lang w:val="es-PR"/>
        </w:rPr>
        <w:t>Algunos de los servicios ofrecidos por la agencia son los siguientes:</w:t>
      </w:r>
    </w:p>
    <w:p w:rsidR="00C93961" w:rsidRPr="00EE056C" w:rsidRDefault="00C93961" w:rsidP="00C93961">
      <w:pPr>
        <w:numPr>
          <w:ilvl w:val="0"/>
          <w:numId w:val="31"/>
        </w:numPr>
        <w:spacing w:before="120" w:after="120" w:line="240" w:lineRule="auto"/>
        <w:jc w:val="both"/>
        <w:rPr>
          <w:rFonts w:asciiTheme="minorHAnsi" w:eastAsia="Times New Roman" w:hAnsiTheme="minorHAnsi" w:cstheme="minorHAnsi"/>
          <w:lang w:val="es-ES_tradnl" w:eastAsia="es-ES_tradnl"/>
        </w:rPr>
      </w:pPr>
      <w:r w:rsidRPr="00EE056C">
        <w:rPr>
          <w:rFonts w:asciiTheme="minorHAnsi" w:eastAsia="Times New Roman" w:hAnsiTheme="minorHAnsi" w:cstheme="minorHAnsi"/>
          <w:lang w:val="es-PR" w:eastAsia="es-ES_tradnl"/>
        </w:rPr>
        <w:t xml:space="preserve">Atender bajo el manto de un mismo foro adjudicativo especializado los casos de relaciones obrero-patronales y de administración de recursos humanos del servicio público, reduciendo gastos al erario público. </w:t>
      </w:r>
    </w:p>
    <w:p w:rsidR="00C93961" w:rsidRPr="00EE056C" w:rsidRDefault="00C93961" w:rsidP="00C93961">
      <w:pPr>
        <w:numPr>
          <w:ilvl w:val="0"/>
          <w:numId w:val="31"/>
        </w:numPr>
        <w:spacing w:before="120" w:after="120" w:line="240" w:lineRule="auto"/>
        <w:jc w:val="both"/>
        <w:rPr>
          <w:rFonts w:asciiTheme="minorHAnsi" w:eastAsia="Times New Roman" w:hAnsiTheme="minorHAnsi" w:cstheme="minorHAnsi"/>
          <w:lang w:val="es-ES_tradnl" w:eastAsia="es-ES_tradnl"/>
        </w:rPr>
      </w:pPr>
      <w:r w:rsidRPr="00EE056C">
        <w:rPr>
          <w:rFonts w:asciiTheme="minorHAnsi" w:eastAsia="Times New Roman" w:hAnsiTheme="minorHAnsi" w:cstheme="minorHAnsi"/>
          <w:lang w:val="es-PR" w:eastAsia="es-ES_tradnl"/>
        </w:rPr>
        <w:t xml:space="preserve">Interpretar, aplicar y hacer cumplir la política pública en torno a la negociación colectiva en el sector público. </w:t>
      </w:r>
    </w:p>
    <w:p w:rsidR="00C93961" w:rsidRPr="00EE056C" w:rsidRDefault="00C93961" w:rsidP="00C93961">
      <w:pPr>
        <w:numPr>
          <w:ilvl w:val="0"/>
          <w:numId w:val="31"/>
        </w:numPr>
        <w:spacing w:before="120" w:after="120" w:line="240" w:lineRule="auto"/>
        <w:jc w:val="both"/>
        <w:rPr>
          <w:rFonts w:asciiTheme="minorHAnsi" w:eastAsia="Times New Roman" w:hAnsiTheme="minorHAnsi" w:cstheme="minorHAnsi"/>
          <w:lang w:val="es-ES_tradnl" w:eastAsia="es-ES_tradnl"/>
        </w:rPr>
      </w:pPr>
      <w:r w:rsidRPr="00EE056C">
        <w:rPr>
          <w:rFonts w:asciiTheme="minorHAnsi" w:eastAsia="Times New Roman" w:hAnsiTheme="minorHAnsi" w:cstheme="minorHAnsi"/>
          <w:lang w:val="es-PR" w:eastAsia="es-ES_tradnl"/>
        </w:rPr>
        <w:t xml:space="preserve">Uniformar los procesos decisionales y las normas de adjudicación de controversias en el sector público. </w:t>
      </w:r>
    </w:p>
    <w:p w:rsidR="00C93961" w:rsidRPr="00EE056C" w:rsidRDefault="00C93961" w:rsidP="00C93961">
      <w:pPr>
        <w:numPr>
          <w:ilvl w:val="0"/>
          <w:numId w:val="31"/>
        </w:numPr>
        <w:spacing w:before="120" w:after="120" w:line="240" w:lineRule="auto"/>
        <w:jc w:val="both"/>
        <w:rPr>
          <w:rFonts w:asciiTheme="minorHAnsi" w:eastAsia="Times New Roman" w:hAnsiTheme="minorHAnsi" w:cstheme="minorHAnsi"/>
          <w:lang w:val="es-ES_tradnl" w:eastAsia="es-ES_tradnl"/>
        </w:rPr>
      </w:pPr>
      <w:r w:rsidRPr="00EE056C">
        <w:rPr>
          <w:rFonts w:asciiTheme="minorHAnsi" w:eastAsia="Times New Roman" w:hAnsiTheme="minorHAnsi" w:cstheme="minorHAnsi"/>
          <w:lang w:val="es-PR" w:eastAsia="es-ES_tradnl"/>
        </w:rPr>
        <w:t xml:space="preserve">Garantizar que tanto la administración de recursos humanos como el sistema de relaciones laborales en el sector público estén predicados en el principio de mérito de modo que se proteja el derecho de los empleados y ciudadanos sobre la base de no discrimen por razón de raza, color, sexo, religión, nacimiento, origen o condición social, ideas religiosa, ideas políticas, edad, condición de veterano, ni condición física o mental alguna. </w:t>
      </w:r>
    </w:p>
    <w:p w:rsidR="00C93961" w:rsidRPr="00EE056C" w:rsidRDefault="00C93961" w:rsidP="00C93961">
      <w:pPr>
        <w:numPr>
          <w:ilvl w:val="0"/>
          <w:numId w:val="31"/>
        </w:numPr>
        <w:spacing w:before="120" w:after="120" w:line="240" w:lineRule="auto"/>
        <w:jc w:val="both"/>
        <w:rPr>
          <w:rFonts w:asciiTheme="minorHAnsi" w:eastAsia="Times New Roman" w:hAnsiTheme="minorHAnsi" w:cstheme="minorHAnsi"/>
          <w:lang w:val="es-ES_tradnl" w:eastAsia="es-ES_tradnl"/>
        </w:rPr>
      </w:pPr>
      <w:r w:rsidRPr="00EE056C">
        <w:rPr>
          <w:rFonts w:asciiTheme="minorHAnsi" w:eastAsia="Times New Roman" w:hAnsiTheme="minorHAnsi" w:cstheme="minorHAnsi"/>
          <w:lang w:val="es-PR" w:eastAsia="es-ES_tradnl"/>
        </w:rPr>
        <w:t xml:space="preserve">Proteger la prevalencia de los derechos de los empleados públicos miembros de organizaciones laborales. </w:t>
      </w:r>
    </w:p>
    <w:p w:rsidR="0049566C" w:rsidRPr="00EE056C" w:rsidRDefault="0049566C" w:rsidP="00C93961">
      <w:pPr>
        <w:pStyle w:val="ListParagraph"/>
        <w:spacing w:before="120" w:after="120" w:line="240" w:lineRule="auto"/>
        <w:contextualSpacing w:val="0"/>
        <w:jc w:val="both"/>
        <w:rPr>
          <w:rFonts w:asciiTheme="minorHAnsi" w:eastAsia="Times New Roman" w:hAnsiTheme="minorHAnsi" w:cstheme="minorHAnsi"/>
          <w:lang w:val="es-PR"/>
        </w:rPr>
        <w:sectPr w:rsidR="0049566C" w:rsidRPr="00EE056C"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D90427" w:rsidRPr="00EE056C" w:rsidRDefault="00D90427" w:rsidP="00C93961">
      <w:pPr>
        <w:spacing w:before="120" w:after="120" w:line="240" w:lineRule="auto"/>
        <w:jc w:val="both"/>
        <w:rPr>
          <w:rFonts w:asciiTheme="minorHAnsi" w:eastAsia="Times New Roman" w:hAnsiTheme="minorHAnsi" w:cstheme="minorHAnsi"/>
          <w:lang w:val="es-PR"/>
        </w:rPr>
      </w:pPr>
    </w:p>
    <w:p w:rsidR="00D90427" w:rsidRPr="00EE056C" w:rsidRDefault="00D90427" w:rsidP="00C93961">
      <w:pPr>
        <w:spacing w:before="120" w:after="120" w:line="240" w:lineRule="auto"/>
        <w:jc w:val="both"/>
        <w:rPr>
          <w:rFonts w:asciiTheme="minorHAnsi" w:eastAsia="Times New Roman" w:hAnsiTheme="minorHAnsi" w:cstheme="minorHAnsi"/>
          <w:lang w:val="es-PR"/>
        </w:rPr>
      </w:pPr>
    </w:p>
    <w:p w:rsidR="00D90427" w:rsidRPr="00EE056C" w:rsidRDefault="00D90427" w:rsidP="00D90427">
      <w:pPr>
        <w:rPr>
          <w:rFonts w:asciiTheme="minorHAnsi" w:eastAsia="Times New Roman" w:hAnsiTheme="minorHAnsi" w:cstheme="minorHAnsi"/>
          <w:lang w:val="es-PR"/>
        </w:rPr>
      </w:pPr>
    </w:p>
    <w:p w:rsidR="00D90427" w:rsidRPr="00D90427" w:rsidRDefault="00D90427" w:rsidP="00D90427">
      <w:pPr>
        <w:rPr>
          <w:rFonts w:eastAsia="Times New Roman" w:cs="Arial"/>
          <w:lang w:val="es-PR"/>
        </w:rPr>
      </w:pPr>
    </w:p>
    <w:p w:rsidR="00D90427" w:rsidRPr="00D90427" w:rsidRDefault="00D90427" w:rsidP="00D90427">
      <w:pPr>
        <w:rPr>
          <w:rFonts w:eastAsia="Times New Roman" w:cs="Arial"/>
          <w:lang w:val="es-PR"/>
        </w:rPr>
      </w:pPr>
    </w:p>
    <w:p w:rsidR="00D90427" w:rsidRDefault="00D90427" w:rsidP="00D90427">
      <w:pPr>
        <w:rPr>
          <w:rFonts w:eastAsia="Times New Roman" w:cs="Arial"/>
          <w:lang w:val="es-PR"/>
        </w:rPr>
      </w:pPr>
    </w:p>
    <w:p w:rsidR="0049566C" w:rsidRPr="00D90427" w:rsidRDefault="00D90427" w:rsidP="00D90427">
      <w:pPr>
        <w:tabs>
          <w:tab w:val="left" w:pos="2235"/>
        </w:tabs>
        <w:rPr>
          <w:rFonts w:eastAsia="Times New Roman" w:cs="Arial"/>
          <w:lang w:val="es-PR"/>
        </w:rPr>
      </w:pPr>
      <w:r>
        <w:rPr>
          <w:rFonts w:eastAsia="Times New Roman" w:cs="Arial"/>
          <w:lang w:val="es-PR"/>
        </w:rPr>
        <w:tab/>
      </w:r>
    </w:p>
    <w:sectPr w:rsidR="0049566C" w:rsidRPr="00D90427"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A8" w:rsidRDefault="000836A8" w:rsidP="005501A9">
      <w:pPr>
        <w:spacing w:after="0" w:line="240" w:lineRule="auto"/>
      </w:pPr>
      <w:r>
        <w:separator/>
      </w:r>
    </w:p>
  </w:endnote>
  <w:endnote w:type="continuationSeparator" w:id="0">
    <w:p w:rsidR="000836A8" w:rsidRDefault="000836A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74" w:rsidRDefault="00F63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847680" behindDoc="0" locked="0" layoutInCell="1" allowOverlap="1" wp14:anchorId="23D50DD5" wp14:editId="3F806857">
                <wp:simplePos x="0" y="0"/>
                <wp:positionH relativeFrom="column">
                  <wp:posOffset>-455295</wp:posOffset>
                </wp:positionH>
                <wp:positionV relativeFrom="paragraph">
                  <wp:posOffset>113030</wp:posOffset>
                </wp:positionV>
                <wp:extent cx="333375" cy="259715"/>
                <wp:effectExtent l="0" t="0" r="9525" b="6985"/>
                <wp:wrapSquare wrapText="bothSides"/>
                <wp:docPr id="18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rPr>
            <mc:AlternateContent>
              <mc:Choice Requires="wps">
                <w:drawing>
                  <wp:anchor distT="0" distB="0" distL="114300" distR="114300" simplePos="0" relativeHeight="251849728" behindDoc="0" locked="0" layoutInCell="1" allowOverlap="1" wp14:anchorId="3C2FA1C8" wp14:editId="0A5E36C6">
                    <wp:simplePos x="0" y="0"/>
                    <wp:positionH relativeFrom="column">
                      <wp:posOffset>-455930</wp:posOffset>
                    </wp:positionH>
                    <wp:positionV relativeFrom="paragraph">
                      <wp:posOffset>39370</wp:posOffset>
                    </wp:positionV>
                    <wp:extent cx="5986145" cy="635"/>
                    <wp:effectExtent l="10795" t="10795" r="13335" b="7620"/>
                    <wp:wrapNone/>
                    <wp:docPr id="76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94" o:spid="_x0000_s1026" type="#_x0000_t32" style="position:absolute;margin-left:-35.9pt;margin-top:3.1pt;width:471.3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e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CQ/kxe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F63174" w:rsidP="00A625BF">
          <w:pPr>
            <w:pStyle w:val="Footer"/>
            <w:jc w:val="center"/>
            <w:rPr>
              <w:rFonts w:asciiTheme="minorHAnsi" w:eastAsiaTheme="minorHAnsi" w:hAnsiTheme="minorHAnsi" w:cstheme="minorBidi"/>
              <w:lang w:val="es-PR"/>
            </w:rPr>
          </w:pPr>
          <w:r w:rsidRPr="00F63174">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74" w:rsidRDefault="00F631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A8" w:rsidRDefault="000836A8" w:rsidP="005501A9">
      <w:pPr>
        <w:spacing w:after="0" w:line="240" w:lineRule="auto"/>
      </w:pPr>
      <w:r>
        <w:separator/>
      </w:r>
    </w:p>
  </w:footnote>
  <w:footnote w:type="continuationSeparator" w:id="0">
    <w:p w:rsidR="000836A8" w:rsidRDefault="000836A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74" w:rsidRDefault="00F63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848704" behindDoc="0" locked="0" layoutInCell="1" allowOverlap="1" wp14:anchorId="53BA1B86" wp14:editId="25BECD41">
              <wp:simplePos x="0" y="0"/>
              <wp:positionH relativeFrom="column">
                <wp:posOffset>4946650</wp:posOffset>
              </wp:positionH>
              <wp:positionV relativeFrom="paragraph">
                <wp:posOffset>84455</wp:posOffset>
              </wp:positionV>
              <wp:extent cx="1050290" cy="349250"/>
              <wp:effectExtent l="12700" t="8255" r="13335" b="13970"/>
              <wp:wrapNone/>
              <wp:docPr id="76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CASP</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3" o:spid="_x0000_s1026" type="#_x0000_t202" style="position:absolute;margin-left:389.5pt;margin-top:6.65pt;width:82.7pt;height:27.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OOcxfSwCAABTBAAADgAAAAAAAAAAAAAAAAAuAgAAZHJz&#10;L2Uyb0RvYy54bWxQSwECLQAUAAYACAAAACEASIBzPd4AAAAJAQAADwAAAAAAAAAAAAAAAACGBAAA&#10;ZHJzL2Rvd25yZXYueG1sUEsFBgAAAAAEAAQA8wAAAJEFA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CASP</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Comisión Apelativa del Servicio Público</w:t>
    </w:r>
    <w:r w:rsidR="00402335">
      <w:rPr>
        <w:noProof/>
        <w:sz w:val="32"/>
        <w:szCs w:val="32"/>
        <w:lang w:val="es-PR"/>
      </w:rPr>
      <w:t xml:space="preserve"> (CASP)</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74" w:rsidRDefault="00F63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Comisión de Derechos Civiles</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5C60CB7"/>
    <w:multiLevelType w:val="multilevel"/>
    <w:tmpl w:val="0B88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14D1BEB"/>
    <w:multiLevelType w:val="hybridMultilevel"/>
    <w:tmpl w:val="0BC60B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504B26"/>
    <w:multiLevelType w:val="hybridMultilevel"/>
    <w:tmpl w:val="D2E085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25"/>
  </w:num>
  <w:num w:numId="3">
    <w:abstractNumId w:val="26"/>
  </w:num>
  <w:num w:numId="4">
    <w:abstractNumId w:val="31"/>
  </w:num>
  <w:num w:numId="5">
    <w:abstractNumId w:val="16"/>
  </w:num>
  <w:num w:numId="6">
    <w:abstractNumId w:val="12"/>
  </w:num>
  <w:num w:numId="7">
    <w:abstractNumId w:val="19"/>
  </w:num>
  <w:num w:numId="8">
    <w:abstractNumId w:val="10"/>
  </w:num>
  <w:num w:numId="9">
    <w:abstractNumId w:val="23"/>
  </w:num>
  <w:num w:numId="10">
    <w:abstractNumId w:val="9"/>
  </w:num>
  <w:num w:numId="11">
    <w:abstractNumId w:val="1"/>
  </w:num>
  <w:num w:numId="12">
    <w:abstractNumId w:val="29"/>
  </w:num>
  <w:num w:numId="13">
    <w:abstractNumId w:val="3"/>
  </w:num>
  <w:num w:numId="14">
    <w:abstractNumId w:val="24"/>
  </w:num>
  <w:num w:numId="15">
    <w:abstractNumId w:val="6"/>
  </w:num>
  <w:num w:numId="16">
    <w:abstractNumId w:val="18"/>
  </w:num>
  <w:num w:numId="17">
    <w:abstractNumId w:val="4"/>
  </w:num>
  <w:num w:numId="18">
    <w:abstractNumId w:val="21"/>
  </w:num>
  <w:num w:numId="19">
    <w:abstractNumId w:val="13"/>
  </w:num>
  <w:num w:numId="20">
    <w:abstractNumId w:val="20"/>
  </w:num>
  <w:num w:numId="21">
    <w:abstractNumId w:val="11"/>
  </w:num>
  <w:num w:numId="22">
    <w:abstractNumId w:val="2"/>
  </w:num>
  <w:num w:numId="23">
    <w:abstractNumId w:val="27"/>
  </w:num>
  <w:num w:numId="24">
    <w:abstractNumId w:val="28"/>
  </w:num>
  <w:num w:numId="25">
    <w:abstractNumId w:val="8"/>
  </w:num>
  <w:num w:numId="26">
    <w:abstractNumId w:val="0"/>
  </w:num>
  <w:num w:numId="27">
    <w:abstractNumId w:val="17"/>
  </w:num>
  <w:num w:numId="28">
    <w:abstractNumId w:val="15"/>
  </w:num>
  <w:num w:numId="29">
    <w:abstractNumId w:val="14"/>
  </w:num>
  <w:num w:numId="30">
    <w:abstractNumId w:val="30"/>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836A8"/>
    <w:rsid w:val="0009017E"/>
    <w:rsid w:val="00091C87"/>
    <w:rsid w:val="000940BF"/>
    <w:rsid w:val="00095162"/>
    <w:rsid w:val="0009685B"/>
    <w:rsid w:val="000A1207"/>
    <w:rsid w:val="000A19E1"/>
    <w:rsid w:val="000A51FC"/>
    <w:rsid w:val="000A6877"/>
    <w:rsid w:val="000B0C5A"/>
    <w:rsid w:val="000B2831"/>
    <w:rsid w:val="000B69D3"/>
    <w:rsid w:val="000B7E28"/>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5AE3"/>
    <w:rsid w:val="002A5C84"/>
    <w:rsid w:val="002A7ACF"/>
    <w:rsid w:val="002B5156"/>
    <w:rsid w:val="002B59DC"/>
    <w:rsid w:val="002C1753"/>
    <w:rsid w:val="002D1E0C"/>
    <w:rsid w:val="002D3544"/>
    <w:rsid w:val="002D3658"/>
    <w:rsid w:val="002D392D"/>
    <w:rsid w:val="002F030A"/>
    <w:rsid w:val="002F38A5"/>
    <w:rsid w:val="0030058C"/>
    <w:rsid w:val="003017A1"/>
    <w:rsid w:val="0030336D"/>
    <w:rsid w:val="00303BF4"/>
    <w:rsid w:val="00306286"/>
    <w:rsid w:val="00307F9A"/>
    <w:rsid w:val="00314199"/>
    <w:rsid w:val="0033701A"/>
    <w:rsid w:val="00344E42"/>
    <w:rsid w:val="003556DB"/>
    <w:rsid w:val="00362B7B"/>
    <w:rsid w:val="0036675A"/>
    <w:rsid w:val="00370141"/>
    <w:rsid w:val="00371DE6"/>
    <w:rsid w:val="00393F9D"/>
    <w:rsid w:val="003950A0"/>
    <w:rsid w:val="003A20CF"/>
    <w:rsid w:val="003A7310"/>
    <w:rsid w:val="003B4575"/>
    <w:rsid w:val="003C6015"/>
    <w:rsid w:val="003E0674"/>
    <w:rsid w:val="003E3CF4"/>
    <w:rsid w:val="003F0271"/>
    <w:rsid w:val="003F6F56"/>
    <w:rsid w:val="003F7B76"/>
    <w:rsid w:val="003F7EF4"/>
    <w:rsid w:val="004012B7"/>
    <w:rsid w:val="00402335"/>
    <w:rsid w:val="0040446E"/>
    <w:rsid w:val="00406783"/>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14C19"/>
    <w:rsid w:val="00616454"/>
    <w:rsid w:val="00633154"/>
    <w:rsid w:val="00633372"/>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88"/>
    <w:rsid w:val="006C6B39"/>
    <w:rsid w:val="006E3049"/>
    <w:rsid w:val="006E374E"/>
    <w:rsid w:val="006F0C66"/>
    <w:rsid w:val="006F359E"/>
    <w:rsid w:val="00706AE9"/>
    <w:rsid w:val="00722794"/>
    <w:rsid w:val="00726CF4"/>
    <w:rsid w:val="007271F4"/>
    <w:rsid w:val="00735FB7"/>
    <w:rsid w:val="007415A2"/>
    <w:rsid w:val="0074728C"/>
    <w:rsid w:val="00781E56"/>
    <w:rsid w:val="00790A6E"/>
    <w:rsid w:val="00792278"/>
    <w:rsid w:val="00793C85"/>
    <w:rsid w:val="007B1C6B"/>
    <w:rsid w:val="007B3534"/>
    <w:rsid w:val="007B4C53"/>
    <w:rsid w:val="007C089B"/>
    <w:rsid w:val="007C4C59"/>
    <w:rsid w:val="007C795B"/>
    <w:rsid w:val="007D07C4"/>
    <w:rsid w:val="007D7088"/>
    <w:rsid w:val="007E1921"/>
    <w:rsid w:val="007E319D"/>
    <w:rsid w:val="007F0041"/>
    <w:rsid w:val="007F0327"/>
    <w:rsid w:val="007F3B98"/>
    <w:rsid w:val="007F6C93"/>
    <w:rsid w:val="007F7A59"/>
    <w:rsid w:val="00807397"/>
    <w:rsid w:val="00815B23"/>
    <w:rsid w:val="00817C0C"/>
    <w:rsid w:val="00824CB0"/>
    <w:rsid w:val="00832CC3"/>
    <w:rsid w:val="00841D9E"/>
    <w:rsid w:val="008542CD"/>
    <w:rsid w:val="008766CF"/>
    <w:rsid w:val="00877A45"/>
    <w:rsid w:val="008947B8"/>
    <w:rsid w:val="008A0367"/>
    <w:rsid w:val="008B7F12"/>
    <w:rsid w:val="008C479E"/>
    <w:rsid w:val="00910F3B"/>
    <w:rsid w:val="00916D37"/>
    <w:rsid w:val="00917173"/>
    <w:rsid w:val="009177F5"/>
    <w:rsid w:val="00920F3A"/>
    <w:rsid w:val="00924F05"/>
    <w:rsid w:val="00933418"/>
    <w:rsid w:val="0093666D"/>
    <w:rsid w:val="00951825"/>
    <w:rsid w:val="00953728"/>
    <w:rsid w:val="00963FB9"/>
    <w:rsid w:val="009705DE"/>
    <w:rsid w:val="0097559D"/>
    <w:rsid w:val="00983F08"/>
    <w:rsid w:val="009A1E26"/>
    <w:rsid w:val="009B26E4"/>
    <w:rsid w:val="009B2C9B"/>
    <w:rsid w:val="009C1EA4"/>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EAF"/>
    <w:rsid w:val="00B03DC9"/>
    <w:rsid w:val="00B26E30"/>
    <w:rsid w:val="00B34D73"/>
    <w:rsid w:val="00B45ED1"/>
    <w:rsid w:val="00B51703"/>
    <w:rsid w:val="00B65025"/>
    <w:rsid w:val="00B671BF"/>
    <w:rsid w:val="00B67419"/>
    <w:rsid w:val="00B80DEA"/>
    <w:rsid w:val="00B81191"/>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93961"/>
    <w:rsid w:val="00CA1937"/>
    <w:rsid w:val="00CD525F"/>
    <w:rsid w:val="00CD63D6"/>
    <w:rsid w:val="00CD66EA"/>
    <w:rsid w:val="00CF03B8"/>
    <w:rsid w:val="00CF2784"/>
    <w:rsid w:val="00CF6CE6"/>
    <w:rsid w:val="00CF7D67"/>
    <w:rsid w:val="00D06C9C"/>
    <w:rsid w:val="00D17B23"/>
    <w:rsid w:val="00D22047"/>
    <w:rsid w:val="00D33863"/>
    <w:rsid w:val="00D34073"/>
    <w:rsid w:val="00D34625"/>
    <w:rsid w:val="00D42014"/>
    <w:rsid w:val="00D57B36"/>
    <w:rsid w:val="00D7011E"/>
    <w:rsid w:val="00D7198C"/>
    <w:rsid w:val="00D72227"/>
    <w:rsid w:val="00D90302"/>
    <w:rsid w:val="00D90427"/>
    <w:rsid w:val="00D97047"/>
    <w:rsid w:val="00DA5FE2"/>
    <w:rsid w:val="00DA69B9"/>
    <w:rsid w:val="00DB009A"/>
    <w:rsid w:val="00DB20A5"/>
    <w:rsid w:val="00DB63E7"/>
    <w:rsid w:val="00DB7E70"/>
    <w:rsid w:val="00DC25B7"/>
    <w:rsid w:val="00DC7A7E"/>
    <w:rsid w:val="00DD2BF7"/>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53D05"/>
    <w:rsid w:val="00E62823"/>
    <w:rsid w:val="00E67805"/>
    <w:rsid w:val="00E94C68"/>
    <w:rsid w:val="00EB10E1"/>
    <w:rsid w:val="00EB7ACD"/>
    <w:rsid w:val="00EC0600"/>
    <w:rsid w:val="00ED598E"/>
    <w:rsid w:val="00EE056C"/>
    <w:rsid w:val="00EE0ADA"/>
    <w:rsid w:val="00EE130A"/>
    <w:rsid w:val="00EE3A06"/>
    <w:rsid w:val="00EE489A"/>
    <w:rsid w:val="00F028E3"/>
    <w:rsid w:val="00F05AE7"/>
    <w:rsid w:val="00F10880"/>
    <w:rsid w:val="00F1249F"/>
    <w:rsid w:val="00F240F5"/>
    <w:rsid w:val="00F3589A"/>
    <w:rsid w:val="00F44F70"/>
    <w:rsid w:val="00F5308E"/>
    <w:rsid w:val="00F62596"/>
    <w:rsid w:val="00F63174"/>
    <w:rsid w:val="00F71A63"/>
    <w:rsid w:val="00F7510A"/>
    <w:rsid w:val="00F80327"/>
    <w:rsid w:val="00F8075F"/>
    <w:rsid w:val="00F814FC"/>
    <w:rsid w:val="00F835BC"/>
    <w:rsid w:val="00F83691"/>
    <w:rsid w:val="00F95728"/>
    <w:rsid w:val="00F965E1"/>
    <w:rsid w:val="00FB373F"/>
    <w:rsid w:val="00FB479D"/>
    <w:rsid w:val="00FC0474"/>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22963151">
      <w:bodyDiv w:val="1"/>
      <w:marLeft w:val="0"/>
      <w:marRight w:val="0"/>
      <w:marTop w:val="0"/>
      <w:marBottom w:val="0"/>
      <w:divBdr>
        <w:top w:val="none" w:sz="0" w:space="0" w:color="auto"/>
        <w:left w:val="none" w:sz="0" w:space="0" w:color="auto"/>
        <w:bottom w:val="none" w:sz="0" w:space="0" w:color="auto"/>
        <w:right w:val="none" w:sz="0" w:space="0" w:color="auto"/>
      </w:divBdr>
      <w:divsChild>
        <w:div w:id="1608586431">
          <w:marLeft w:val="0"/>
          <w:marRight w:val="0"/>
          <w:marTop w:val="0"/>
          <w:marBottom w:val="0"/>
          <w:divBdr>
            <w:top w:val="none" w:sz="0" w:space="0" w:color="auto"/>
            <w:left w:val="none" w:sz="0" w:space="0" w:color="auto"/>
            <w:bottom w:val="none" w:sz="0" w:space="0" w:color="auto"/>
            <w:right w:val="none" w:sz="0" w:space="0" w:color="auto"/>
          </w:divBdr>
          <w:divsChild>
            <w:div w:id="10234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CASP-Directorio%20de%20Agencia/CASP-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49</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4735-1CB5-43C1-9B1C-5DF6D0B99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227AD-6217-41E4-B1A2-282C3E3B1950}">
  <ds:schemaRefs>
    <ds:schemaRef ds:uri="http://schemas.microsoft.com/sharepoint/v3/contenttype/forms"/>
  </ds:schemaRefs>
</ds:datastoreItem>
</file>

<file path=customXml/itemProps3.xml><?xml version="1.0" encoding="utf-8"?>
<ds:datastoreItem xmlns:ds="http://schemas.openxmlformats.org/officeDocument/2006/customXml" ds:itemID="{3B21B9CB-4913-4286-82EA-A7D9EA6F8D7C}">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4FAB2190-A809-413D-AC6C-CF651306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Información General de CASP</vt:lpstr>
    </vt:vector>
  </TitlesOfParts>
  <Company>Hewlett-Packard Company</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CASP</dc:title>
  <dc:subject>Información General</dc:subject>
  <dc:creator>3-1-1 Tu Línea de Servicios de Gobierno</dc:creator>
  <cp:keywords>CASP</cp:keywords>
  <cp:lastModifiedBy>respondadmin</cp:lastModifiedBy>
  <cp:revision>6</cp:revision>
  <cp:lastPrinted>2012-08-17T15:48:00Z</cp:lastPrinted>
  <dcterms:created xsi:type="dcterms:W3CDTF">2012-08-31T18:17:00Z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