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93EA5CB" wp14:editId="336B3636">
                  <wp:extent cx="267335" cy="276225"/>
                  <wp:effectExtent l="19050" t="0" r="0" b="0"/>
                  <wp:docPr id="19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B804FD" w:rsidRPr="00234672" w:rsidRDefault="0049566C" w:rsidP="00234672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B804F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Comisión Industrial de Puerto Rico</w:t>
      </w:r>
      <w:r w:rsidR="004102B8" w:rsidRPr="00B804F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(CIPR) </w:t>
      </w:r>
      <w:r w:rsidRPr="00B804F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es un organismo apelativo con facultad en ley para revisar las decisiones de la Corporación del Fondo del Seguro del Estado</w:t>
      </w:r>
      <w:r w:rsidR="00D06B10" w:rsidRPr="00B804F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(CFSE)</w:t>
      </w:r>
      <w:r w:rsidRPr="00B804F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 La Comisión podrá revocar, modificar o confirmar dichas decisiones. La Comisión revisa las decisiones de la Corporación del Fondo del Seguro del Estado cuando son apeladas, para determinar si las mismas están conforme a la Ley.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1821D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19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EF139E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7F0327">
          <w:rPr>
            <w:rStyle w:val="Hyperlink"/>
            <w:rFonts w:cs="Arial"/>
            <w:lang w:val="es-PR"/>
          </w:rPr>
          <w:t xml:space="preserve">Directorio de </w:t>
        </w:r>
        <w:r w:rsidR="0049566C" w:rsidRPr="007F0327">
          <w:rPr>
            <w:rStyle w:val="Hyperlink"/>
            <w:rFonts w:cs="Arial"/>
            <w:noProof/>
            <w:lang w:val="es-PR"/>
          </w:rPr>
          <w:t>CIPR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19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B804FD" w:rsidRPr="00B804FD" w:rsidRDefault="00B804FD" w:rsidP="00234672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>
        <w:rPr>
          <w:rFonts w:asciiTheme="minorHAnsi" w:hAnsiTheme="minorHAnsi" w:cs="Arial"/>
          <w:noProof/>
          <w:color w:val="000000"/>
          <w:lang w:val="es-PR"/>
        </w:rPr>
        <w:t>R</w:t>
      </w:r>
      <w:r w:rsidRPr="00B804FD">
        <w:rPr>
          <w:rFonts w:asciiTheme="minorHAnsi" w:hAnsiTheme="minorHAnsi" w:cs="Arial"/>
          <w:noProof/>
          <w:color w:val="000000"/>
          <w:lang w:val="es-PR"/>
        </w:rPr>
        <w:t>evisar las decisiones de la Corporación del Fondo del Seguro del Estado (CFSE)</w:t>
      </w:r>
      <w:r>
        <w:rPr>
          <w:rFonts w:asciiTheme="minorHAnsi" w:hAnsiTheme="minorHAnsi" w:cs="Arial"/>
          <w:noProof/>
          <w:color w:val="000000"/>
          <w:lang w:val="es-PR"/>
        </w:rPr>
        <w:t>.</w:t>
      </w:r>
    </w:p>
    <w:p w:rsidR="00B804FD" w:rsidRPr="00B804FD" w:rsidRDefault="00B804FD" w:rsidP="00234672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  <w:sectPr w:rsidR="00B804FD" w:rsidRPr="00B804FD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234672" w:rsidRPr="00615EB4" w:rsidRDefault="00234672" w:rsidP="00615EB4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="Arial"/>
          <w:noProof/>
          <w:color w:val="000000"/>
          <w:lang w:val="es-PR"/>
        </w:rPr>
      </w:pPr>
      <w:bookmarkStart w:id="1" w:name="PROG1136"/>
      <w:r w:rsidRPr="00234672">
        <w:rPr>
          <w:rFonts w:asciiTheme="minorHAnsi" w:hAnsiTheme="minorHAnsi" w:cs="Arial"/>
          <w:noProof/>
          <w:color w:val="000000"/>
          <w:lang w:val="es-PR"/>
        </w:rPr>
        <w:lastRenderedPageBreak/>
        <w:t>Adjudicar conforme al estado de derecho sobre compensaciones por accidentes del trabajo, las apelaciones efectuadas por obreros lesionados y los patronos que entienden se han afectado por una decisión de la Administradora del Fondo del Seguro del Estado.</w:t>
      </w:r>
    </w:p>
    <w:p w:rsidR="0049566C" w:rsidRPr="00615EB4" w:rsidRDefault="00234672" w:rsidP="00615EB4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="Arial"/>
          <w:noProof/>
          <w:color w:val="000000"/>
          <w:lang w:val="es-PR"/>
        </w:rPr>
      </w:pPr>
      <w:r>
        <w:rPr>
          <w:rFonts w:asciiTheme="minorHAnsi" w:hAnsiTheme="minorHAnsi" w:cs="Arial"/>
          <w:noProof/>
          <w:color w:val="000000"/>
          <w:lang w:val="es-PR"/>
        </w:rPr>
        <w:t>A</w:t>
      </w:r>
      <w:r w:rsidRPr="00234672">
        <w:rPr>
          <w:rFonts w:asciiTheme="minorHAnsi" w:hAnsiTheme="minorHAnsi" w:cs="Arial"/>
          <w:noProof/>
          <w:color w:val="000000"/>
          <w:lang w:val="es-PR"/>
        </w:rPr>
        <w:t xml:space="preserve">djudicar aquellas controversias de obreros o patronos, en los cuales no es necesario que la Administradora emita una decisión por ser estatutariamente de jurisdicción original de este Organismo. </w:t>
      </w:r>
      <w:bookmarkEnd w:id="1"/>
    </w:p>
    <w:sectPr w:rsidR="0049566C" w:rsidRPr="00615EB4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74" w:rsidRDefault="00966E74" w:rsidP="005501A9">
      <w:pPr>
        <w:spacing w:after="0" w:line="240" w:lineRule="auto"/>
      </w:pPr>
      <w:r>
        <w:separator/>
      </w:r>
    </w:p>
  </w:endnote>
  <w:endnote w:type="continuationSeparator" w:id="0">
    <w:p w:rsidR="00966E74" w:rsidRDefault="00966E7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2A" w:rsidRDefault="00D1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855872" behindDoc="0" locked="0" layoutInCell="1" allowOverlap="1" wp14:anchorId="08F7693A" wp14:editId="168C790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9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857920" behindDoc="0" locked="0" layoutInCell="1" allowOverlap="1" wp14:anchorId="260BBE0D" wp14:editId="2B86B2E8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60" name="AutoShape 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8" o:spid="_x0000_s1026" type="#_x0000_t32" style="position:absolute;margin-left:-35.9pt;margin-top:3.1pt;width:471.35pt;height: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r3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DpMEr3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D1582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D1582A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2A" w:rsidRDefault="00D1582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74" w:rsidRDefault="00966E74" w:rsidP="005501A9">
      <w:pPr>
        <w:spacing w:after="0" w:line="240" w:lineRule="auto"/>
      </w:pPr>
      <w:r>
        <w:separator/>
      </w:r>
    </w:p>
  </w:footnote>
  <w:footnote w:type="continuationSeparator" w:id="0">
    <w:p w:rsidR="00966E74" w:rsidRDefault="00966E7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2A" w:rsidRDefault="00D1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017C2DEC" wp14:editId="13FA6B69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61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CIPR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style="position:absolute;margin-left:389.5pt;margin-top:6.65pt;width:82.7pt;height:27.5pt;z-index:251856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1tLAIAAFM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WfONbSwCAABT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CIPR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Industrial de Puerto Rico</w:t>
    </w:r>
    <w:r w:rsidR="000E3C92">
      <w:rPr>
        <w:sz w:val="32"/>
        <w:szCs w:val="32"/>
        <w:lang w:val="es-PR"/>
      </w:rPr>
      <w:t xml:space="preserve"> (CIPR)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2A" w:rsidRDefault="00D1582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E3484"/>
    <w:multiLevelType w:val="hybridMultilevel"/>
    <w:tmpl w:val="E70077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77D3F"/>
    <w:multiLevelType w:val="multilevel"/>
    <w:tmpl w:val="66D8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20"/>
  </w:num>
  <w:num w:numId="8">
    <w:abstractNumId w:val="11"/>
  </w:num>
  <w:num w:numId="9">
    <w:abstractNumId w:val="23"/>
  </w:num>
  <w:num w:numId="10">
    <w:abstractNumId w:val="10"/>
  </w:num>
  <w:num w:numId="11">
    <w:abstractNumId w:val="1"/>
  </w:num>
  <w:num w:numId="12">
    <w:abstractNumId w:val="29"/>
  </w:num>
  <w:num w:numId="13">
    <w:abstractNumId w:val="4"/>
  </w:num>
  <w:num w:numId="14">
    <w:abstractNumId w:val="24"/>
  </w:num>
  <w:num w:numId="15">
    <w:abstractNumId w:val="6"/>
  </w:num>
  <w:num w:numId="16">
    <w:abstractNumId w:val="19"/>
  </w:num>
  <w:num w:numId="17">
    <w:abstractNumId w:val="5"/>
  </w:num>
  <w:num w:numId="18">
    <w:abstractNumId w:val="22"/>
  </w:num>
  <w:num w:numId="19">
    <w:abstractNumId w:val="14"/>
  </w:num>
  <w:num w:numId="20">
    <w:abstractNumId w:val="21"/>
  </w:num>
  <w:num w:numId="21">
    <w:abstractNumId w:val="12"/>
  </w:num>
  <w:num w:numId="22">
    <w:abstractNumId w:val="3"/>
  </w:num>
  <w:num w:numId="23">
    <w:abstractNumId w:val="27"/>
  </w:num>
  <w:num w:numId="24">
    <w:abstractNumId w:val="28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3BED"/>
    <w:rsid w:val="000B69D3"/>
    <w:rsid w:val="000B7E28"/>
    <w:rsid w:val="000C5283"/>
    <w:rsid w:val="000D60F9"/>
    <w:rsid w:val="000E3C92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21D5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4672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266FC"/>
    <w:rsid w:val="0033701A"/>
    <w:rsid w:val="00344E42"/>
    <w:rsid w:val="003556DB"/>
    <w:rsid w:val="00361DB0"/>
    <w:rsid w:val="00362B7B"/>
    <w:rsid w:val="0036675A"/>
    <w:rsid w:val="00370141"/>
    <w:rsid w:val="00371DE6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02B8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20BE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4E6C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15EB4"/>
    <w:rsid w:val="00616454"/>
    <w:rsid w:val="00633154"/>
    <w:rsid w:val="00633372"/>
    <w:rsid w:val="00633672"/>
    <w:rsid w:val="00633E03"/>
    <w:rsid w:val="00644031"/>
    <w:rsid w:val="00655D34"/>
    <w:rsid w:val="00655E15"/>
    <w:rsid w:val="0066535D"/>
    <w:rsid w:val="00667D45"/>
    <w:rsid w:val="00674567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2278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66E74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07C7E"/>
    <w:rsid w:val="00A132E2"/>
    <w:rsid w:val="00A15EFF"/>
    <w:rsid w:val="00A243C0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39A3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4FD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BF1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A527A"/>
    <w:rsid w:val="00CD525F"/>
    <w:rsid w:val="00CD63D6"/>
    <w:rsid w:val="00CD66EA"/>
    <w:rsid w:val="00CF03B8"/>
    <w:rsid w:val="00CF2784"/>
    <w:rsid w:val="00CF6CE6"/>
    <w:rsid w:val="00CF7D67"/>
    <w:rsid w:val="00D06B10"/>
    <w:rsid w:val="00D06C9C"/>
    <w:rsid w:val="00D1582A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EF139E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864"/>
    <w:rsid w:val="00F71A63"/>
    <w:rsid w:val="00F737C7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4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6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8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IPR-Directorio%20de%20Agencia/CIPR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67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DEC3A-0E24-4E77-B9BD-E6DF3F922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B2F90-147C-40BA-87A0-7F6ACB493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7CB7B-6232-4CC3-AF3F-A1074B088AE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DB6358B-A1B6-4418-9D44-BF6AA0C7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Informacion General de la CIPR</vt:lpstr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CIPR</dc:title>
  <dc:subject>Información General</dc:subject>
  <dc:creator>3-1-1 Tu Línea de Servicios de Gobierno</dc:creator>
  <cp:keywords>CIPR</cp:keywords>
  <cp:lastModifiedBy>respondadmin</cp:lastModifiedBy>
  <cp:revision>6</cp:revision>
  <cp:lastPrinted>2012-08-17T19:02:00Z</cp:lastPrinted>
  <dcterms:created xsi:type="dcterms:W3CDTF">2012-08-31T18:20:00Z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