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DD40A9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DD40A9" w:rsidRDefault="0049566C" w:rsidP="007504B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D40A9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AC670D0" wp14:editId="39E2BF25">
                  <wp:extent cx="267335" cy="276225"/>
                  <wp:effectExtent l="19050" t="0" r="0" b="0"/>
                  <wp:docPr id="43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DD40A9" w:rsidRDefault="0049566C" w:rsidP="007504B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D40A9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DD40A9" w:rsidRDefault="009B1620" w:rsidP="007504BC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es-ES_tradnl"/>
        </w:rPr>
      </w:pPr>
      <w:r w:rsidRPr="00DD40A9">
        <w:rPr>
          <w:rFonts w:asciiTheme="minorHAnsi" w:eastAsia="Times New Roman" w:hAnsiTheme="minorHAnsi" w:cstheme="minorHAnsi"/>
          <w:color w:val="000000"/>
          <w:lang w:eastAsia="es-ES_tradnl"/>
        </w:rPr>
        <w:t>Servir como entidad asesor</w:t>
      </w:r>
      <w:r w:rsidR="009F33DB" w:rsidRPr="009F33DB">
        <w:rPr>
          <w:rFonts w:asciiTheme="minorHAnsi" w:eastAsia="Times New Roman" w:hAnsiTheme="minorHAnsi" w:cstheme="minorHAnsi"/>
          <w:color w:val="000000"/>
          <w:lang w:eastAsia="es-ES_tradnl"/>
        </w:rPr>
        <w:t xml:space="preserve">a, normativa, fiscalizadora y educativa en todo lo relacionado a la administración de los recursos humanos y las relaciones laborales en el sector público. Reafirmar el mérito como principio rector en el servicio público. </w:t>
      </w:r>
    </w:p>
    <w:p w:rsidR="009F33DB" w:rsidRPr="00DD40A9" w:rsidRDefault="009F33DB" w:rsidP="007504BC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eastAsia="es-ES_tradnl"/>
        </w:rPr>
      </w:pPr>
      <w:r w:rsidRPr="009F33DB">
        <w:rPr>
          <w:rFonts w:asciiTheme="minorHAnsi" w:eastAsia="Times New Roman" w:hAnsiTheme="minorHAnsi" w:cstheme="minorHAnsi"/>
          <w:color w:val="000000"/>
          <w:lang w:eastAsia="es-ES_tradnl"/>
        </w:rPr>
        <w:t>Desarrollar a través de la Escuela de Educación Continua el potencial y capacidad del recurso humano para maximizar sus competencias técnicas y profesionales en su desempeño como servidor público.</w:t>
      </w:r>
    </w:p>
    <w:p w:rsidR="0049566C" w:rsidRPr="00DD40A9" w:rsidRDefault="0049566C" w:rsidP="007504BC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  <w:sectPr w:rsidR="0049566C" w:rsidRPr="00DD40A9" w:rsidSect="0049566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3C7646" w:rsidRPr="00DD40A9" w:rsidTr="00DD20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C7646" w:rsidRPr="00DD40A9" w:rsidRDefault="003C7646" w:rsidP="007504B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40A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14E6E550" wp14:editId="78F7F983">
                  <wp:extent cx="276225" cy="276225"/>
                  <wp:effectExtent l="19050" t="0" r="9525" b="0"/>
                  <wp:docPr id="43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C7646" w:rsidRPr="00DD40A9" w:rsidRDefault="003C7646" w:rsidP="007504B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D40A9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B911A2" w:rsidRPr="00DD40A9" w:rsidRDefault="005E39EB" w:rsidP="007504BC">
      <w:pPr>
        <w:spacing w:before="120" w:after="120" w:line="240" w:lineRule="auto"/>
        <w:rPr>
          <w:rStyle w:val="Hyperlink"/>
          <w:rFonts w:asciiTheme="minorHAnsi" w:hAnsiTheme="minorHAnsi" w:cstheme="minorHAnsi"/>
        </w:rPr>
      </w:pPr>
      <w:hyperlink r:id="rId20" w:history="1">
        <w:r w:rsidR="003C7646" w:rsidRPr="00DD40A9">
          <w:rPr>
            <w:rStyle w:val="Hyperlink"/>
            <w:rFonts w:asciiTheme="minorHAnsi" w:hAnsiTheme="minorHAnsi" w:cstheme="minorHAnsi"/>
          </w:rPr>
          <w:t>Directorio de OCALARH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911A2" w:rsidRPr="00DD40A9" w:rsidTr="00DD208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B911A2" w:rsidRPr="00DD40A9" w:rsidRDefault="00B911A2" w:rsidP="007504B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40A9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C2C136B" wp14:editId="21F1E164">
                  <wp:extent cx="276225" cy="276225"/>
                  <wp:effectExtent l="19050" t="0" r="9525" b="0"/>
                  <wp:docPr id="43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40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B911A2" w:rsidRPr="00DD40A9" w:rsidRDefault="00B911A2" w:rsidP="007504B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DD40A9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t>Preguntas Frecuentes</w:t>
            </w:r>
          </w:p>
        </w:tc>
      </w:tr>
    </w:tbl>
    <w:p w:rsidR="00B911A2" w:rsidRPr="00DD40A9" w:rsidRDefault="00B911A2" w:rsidP="007504BC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</w:rPr>
      </w:pPr>
      <w:r w:rsidRPr="00DD40A9">
        <w:rPr>
          <w:rFonts w:asciiTheme="minorHAnsi" w:eastAsia="Times New Roman" w:hAnsiTheme="minorHAnsi" w:cstheme="minorHAnsi"/>
          <w:color w:val="000000"/>
        </w:rPr>
        <w:t>Algunos de los servicios ofrecidos por la agencia son los siguientes:</w:t>
      </w:r>
    </w:p>
    <w:p w:rsidR="004F4BDB" w:rsidRPr="00DD40A9" w:rsidRDefault="005E39EB" w:rsidP="007504BC">
      <w:pPr>
        <w:pStyle w:val="ListParagraph"/>
        <w:numPr>
          <w:ilvl w:val="0"/>
          <w:numId w:val="30"/>
        </w:numPr>
        <w:spacing w:before="120" w:after="120" w:line="240" w:lineRule="auto"/>
        <w:ind w:right="45"/>
        <w:contextualSpacing w:val="0"/>
        <w:rPr>
          <w:rFonts w:asciiTheme="minorHAnsi" w:eastAsia="Times New Roman" w:hAnsiTheme="minorHAnsi" w:cstheme="minorHAnsi"/>
          <w:lang w:eastAsia="es-ES_tradnl"/>
        </w:rPr>
      </w:pPr>
      <w:hyperlink r:id="rId22" w:history="1">
        <w:r w:rsidR="00330126" w:rsidRPr="00DD40A9">
          <w:rPr>
            <w:rFonts w:asciiTheme="minorHAnsi" w:eastAsia="Times New Roman" w:hAnsiTheme="minorHAnsi" w:cstheme="minorHAnsi"/>
            <w:shd w:val="clear" w:color="auto" w:fill="FFFFFF"/>
            <w:lang w:eastAsia="es-ES_tradnl"/>
          </w:rPr>
          <w:t>Oficina de Asesoramiento en Asuntos Legales</w:t>
        </w:r>
      </w:hyperlink>
      <w:r w:rsidR="00330126"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 xml:space="preserve"> </w:t>
      </w:r>
      <w:r w:rsidR="004F4BDB"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–</w:t>
      </w:r>
      <w:r w:rsidR="00330126"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 xml:space="preserve"> </w:t>
      </w:r>
    </w:p>
    <w:p w:rsidR="004F4BDB" w:rsidRPr="00DD40A9" w:rsidRDefault="00330126" w:rsidP="007504BC">
      <w:pPr>
        <w:pStyle w:val="ListParagraph"/>
        <w:numPr>
          <w:ilvl w:val="1"/>
          <w:numId w:val="30"/>
        </w:numPr>
        <w:spacing w:before="120" w:after="120" w:line="240" w:lineRule="auto"/>
        <w:ind w:right="45"/>
        <w:contextualSpacing w:val="0"/>
        <w:rPr>
          <w:rFonts w:asciiTheme="minorHAnsi" w:eastAsia="Times New Roman" w:hAnsiTheme="minorHAnsi" w:cstheme="minorHAnsi"/>
          <w:lang w:eastAsia="es-ES_tradnl"/>
        </w:rPr>
      </w:pPr>
      <w:r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 xml:space="preserve">tiene la responsabilidad de asesorar al Director, propiamente, y a entidades gubernamentales incluyendo a los municipios, en asuntos relacionados con la administración de los recursos humanos en el servicio público. </w:t>
      </w:r>
    </w:p>
    <w:p w:rsidR="00330126" w:rsidRPr="00DD40A9" w:rsidRDefault="004F4BDB" w:rsidP="007504BC">
      <w:pPr>
        <w:pStyle w:val="ListParagraph"/>
        <w:numPr>
          <w:ilvl w:val="1"/>
          <w:numId w:val="30"/>
        </w:numPr>
        <w:spacing w:before="120" w:after="120" w:line="240" w:lineRule="auto"/>
        <w:ind w:right="45"/>
        <w:contextualSpacing w:val="0"/>
        <w:rPr>
          <w:rFonts w:asciiTheme="minorHAnsi" w:eastAsia="Times New Roman" w:hAnsiTheme="minorHAnsi" w:cstheme="minorHAnsi"/>
          <w:lang w:eastAsia="es-ES_tradnl"/>
        </w:rPr>
      </w:pPr>
      <w:r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D</w:t>
      </w:r>
      <w:r w:rsidR="00330126"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esarrolla y redacta la reglamentación que tiene a su cargo promulgar nuestra Agencia, como las Cartas Normativas y Memorandos que emite la Agencia.</w:t>
      </w:r>
    </w:p>
    <w:p w:rsidR="000110BC" w:rsidRPr="00DD40A9" w:rsidRDefault="005E39EB" w:rsidP="007504BC">
      <w:pPr>
        <w:pStyle w:val="ListParagraph"/>
        <w:numPr>
          <w:ilvl w:val="0"/>
          <w:numId w:val="30"/>
        </w:numPr>
        <w:spacing w:before="120" w:after="120" w:line="240" w:lineRule="auto"/>
        <w:ind w:right="45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hyperlink r:id="rId23" w:history="1">
        <w:r w:rsidR="00330126" w:rsidRPr="00DD40A9">
          <w:rPr>
            <w:rFonts w:asciiTheme="minorHAnsi" w:eastAsia="Times New Roman" w:hAnsiTheme="minorHAnsi" w:cstheme="minorHAnsi"/>
            <w:shd w:val="clear" w:color="auto" w:fill="FFFFFF"/>
            <w:lang w:eastAsia="es-ES_tradnl"/>
          </w:rPr>
          <w:t>Oficina de Servicios Especializados, Asesoramiento Técnico, Evaluación y Cumplimiento</w:t>
        </w:r>
      </w:hyperlink>
      <w:r w:rsidR="00C92704"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 xml:space="preserve"> </w:t>
      </w:r>
      <w:r w:rsidR="000110BC"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–</w:t>
      </w:r>
    </w:p>
    <w:p w:rsidR="000110BC" w:rsidRPr="00DD40A9" w:rsidRDefault="00C92704" w:rsidP="007504BC">
      <w:pPr>
        <w:pStyle w:val="ListParagraph"/>
        <w:numPr>
          <w:ilvl w:val="1"/>
          <w:numId w:val="30"/>
        </w:numPr>
        <w:spacing w:before="120" w:after="120" w:line="240" w:lineRule="auto"/>
        <w:ind w:right="43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r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asesorar y ofrecer ayuda técnica a las agencias de la Rama Ejecutiva, organismos gubernamentales componentes del Sistema, municipios y corporaciones públicas, en materia de reclutamiento y selección, clasificación de puestos, retribución y otros aspectos relacionados con la administración de los recursos humanos.</w:t>
      </w:r>
    </w:p>
    <w:p w:rsidR="00C92704" w:rsidRPr="00DD40A9" w:rsidRDefault="000110BC" w:rsidP="007504BC">
      <w:pPr>
        <w:pStyle w:val="ListParagraph"/>
        <w:numPr>
          <w:ilvl w:val="1"/>
          <w:numId w:val="30"/>
        </w:numPr>
        <w:spacing w:before="120" w:after="120" w:line="240" w:lineRule="auto"/>
        <w:ind w:right="45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r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D</w:t>
      </w:r>
      <w:r w:rsidR="00C92704"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esarrollar, evaluar y aprobar reglamentos en materia de personal, planes de clasificación de puestos y de retribución; elaborar normas de reclutamiento y bases de evaluación; y evaluar y aprobar solicitudes de dispensa en periodo de prohibición eleccionaria, según lo estatuido en la referida Ley.</w:t>
      </w:r>
    </w:p>
    <w:p w:rsidR="00330126" w:rsidRPr="00DD40A9" w:rsidRDefault="005E39EB" w:rsidP="007504BC">
      <w:pPr>
        <w:pStyle w:val="ListParagraph"/>
        <w:numPr>
          <w:ilvl w:val="0"/>
          <w:numId w:val="30"/>
        </w:numPr>
        <w:spacing w:before="120" w:after="120" w:line="240" w:lineRule="auto"/>
        <w:ind w:right="45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hyperlink r:id="rId24" w:history="1">
        <w:r w:rsidR="00330126" w:rsidRPr="00DD40A9">
          <w:rPr>
            <w:rFonts w:asciiTheme="minorHAnsi" w:eastAsia="Times New Roman" w:hAnsiTheme="minorHAnsi" w:cstheme="minorHAnsi"/>
            <w:shd w:val="clear" w:color="auto" w:fill="FFFFFF"/>
            <w:lang w:eastAsia="es-ES_tradnl"/>
          </w:rPr>
          <w:t>Escuela de Educación Continua (EEC)</w:t>
        </w:r>
      </w:hyperlink>
    </w:p>
    <w:p w:rsidR="00CB6078" w:rsidRPr="00F729BF" w:rsidRDefault="00CB6078" w:rsidP="007504BC">
      <w:pPr>
        <w:pStyle w:val="ListParagraph"/>
        <w:numPr>
          <w:ilvl w:val="1"/>
          <w:numId w:val="30"/>
        </w:numPr>
        <w:spacing w:before="120" w:after="120" w:line="240" w:lineRule="auto"/>
        <w:ind w:right="43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r w:rsidRPr="00F729BF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Planificar, desarrollar, administrar y evaluar actividades de adiestramiento para el desarrollo personal y profesional de los servidores públicos, con particular interés en el establecimiento de un programa integral de capacitación en administración de recursos humanos y relaciones laborales del servicio público.</w:t>
      </w:r>
    </w:p>
    <w:p w:rsidR="00CB6078" w:rsidRPr="00F729BF" w:rsidRDefault="00CB6078" w:rsidP="007504BC">
      <w:pPr>
        <w:pStyle w:val="ListParagraph"/>
        <w:numPr>
          <w:ilvl w:val="1"/>
          <w:numId w:val="30"/>
        </w:numPr>
        <w:spacing w:before="120" w:after="120" w:line="240" w:lineRule="auto"/>
        <w:ind w:right="43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r w:rsidRPr="00F729BF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Identificar y atender las necesidades de adiestramiento para el desarrollo de los recursos humanos en el servicio público.</w:t>
      </w:r>
    </w:p>
    <w:p w:rsidR="00CB6078" w:rsidRPr="00F729BF" w:rsidRDefault="00CB6078" w:rsidP="007504BC">
      <w:pPr>
        <w:pStyle w:val="ListParagraph"/>
        <w:numPr>
          <w:ilvl w:val="1"/>
          <w:numId w:val="30"/>
        </w:numPr>
        <w:spacing w:before="120" w:after="120" w:line="240" w:lineRule="auto"/>
        <w:ind w:right="43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r w:rsidRPr="00F729BF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>Desarrollar programas de investigación en el campo de la administración de los recursos humanos.</w:t>
      </w:r>
    </w:p>
    <w:p w:rsidR="00B911A2" w:rsidRDefault="00CB6078" w:rsidP="007504BC">
      <w:pPr>
        <w:pStyle w:val="ListParagraph"/>
        <w:numPr>
          <w:ilvl w:val="1"/>
          <w:numId w:val="30"/>
        </w:numPr>
        <w:spacing w:before="120" w:after="120" w:line="240" w:lineRule="auto"/>
        <w:ind w:right="43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r w:rsidRPr="00F729BF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lastRenderedPageBreak/>
        <w:t>Asesorar a las agencias del Gobierno en la implantación de los resultados positivos de las investigaciones para el mejoram</w:t>
      </w:r>
      <w:r w:rsidRPr="00DD40A9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 xml:space="preserve">iento de los recursos humanos. </w:t>
      </w:r>
    </w:p>
    <w:p w:rsidR="007504BC" w:rsidRDefault="007504BC" w:rsidP="007504BC">
      <w:pPr>
        <w:pStyle w:val="ListParagraph"/>
        <w:numPr>
          <w:ilvl w:val="0"/>
          <w:numId w:val="30"/>
        </w:numPr>
        <w:spacing w:before="120" w:after="120" w:line="240" w:lineRule="auto"/>
        <w:ind w:right="43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r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 xml:space="preserve">AEELA – La Asociación de Empleados de Gobierno de Puerto Rico es una institución sin fines de lucro, creada con el propósito primordial de fomentar el ahorro y ofrecer una serie de servicios y beneficios a los empleados públicos y pensionados que la integran, incluidos sus familiares. Servicio al Cliente 787-641-2021. Página Web </w:t>
      </w:r>
      <w:hyperlink r:id="rId25" w:history="1">
        <w:r w:rsidRPr="00B53789">
          <w:rPr>
            <w:rStyle w:val="Hyperlink"/>
            <w:rFonts w:asciiTheme="minorHAnsi" w:eastAsia="Times New Roman" w:hAnsiTheme="minorHAnsi" w:cstheme="minorHAnsi"/>
            <w:shd w:val="clear" w:color="auto" w:fill="FFFFFF"/>
            <w:lang w:eastAsia="es-ES_tradnl"/>
          </w:rPr>
          <w:t>www.aeela.com</w:t>
        </w:r>
      </w:hyperlink>
    </w:p>
    <w:p w:rsidR="007504BC" w:rsidRPr="007504BC" w:rsidRDefault="007504BC" w:rsidP="007504BC">
      <w:pPr>
        <w:pStyle w:val="ListParagraph"/>
        <w:spacing w:before="120" w:after="120" w:line="240" w:lineRule="auto"/>
        <w:ind w:right="43"/>
        <w:contextualSpacing w:val="0"/>
        <w:rPr>
          <w:rFonts w:asciiTheme="minorHAnsi" w:eastAsia="Times New Roman" w:hAnsiTheme="minorHAnsi" w:cstheme="minorHAnsi"/>
          <w:shd w:val="clear" w:color="auto" w:fill="FFFFFF"/>
          <w:lang w:eastAsia="es-ES_tradnl"/>
        </w:rPr>
      </w:pPr>
      <w:r w:rsidRPr="007504BC">
        <w:rPr>
          <w:rFonts w:asciiTheme="minorHAnsi" w:eastAsia="Times New Roman" w:hAnsiTheme="minorHAnsi" w:cstheme="minorHAnsi"/>
          <w:shd w:val="clear" w:color="auto" w:fill="FFFFFF"/>
          <w:lang w:eastAsia="es-ES_tradnl"/>
        </w:rPr>
        <w:tab/>
      </w:r>
    </w:p>
    <w:sectPr w:rsidR="007504BC" w:rsidRPr="007504BC" w:rsidSect="0049566C">
      <w:headerReference w:type="default" r:id="rId26"/>
      <w:footerReference w:type="default" r:id="rId27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A1C" w:rsidRDefault="00CE3A1C" w:rsidP="005501A9">
      <w:pPr>
        <w:spacing w:after="0" w:line="240" w:lineRule="auto"/>
      </w:pPr>
      <w:r>
        <w:separator/>
      </w:r>
    </w:p>
  </w:endnote>
  <w:endnote w:type="continuationSeparator" w:id="0">
    <w:p w:rsidR="00CE3A1C" w:rsidRDefault="00CE3A1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DC" w:rsidRDefault="00D13F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2105728" behindDoc="0" locked="0" layoutInCell="1" allowOverlap="1" wp14:anchorId="25D29497" wp14:editId="1A9B2A8B">
                <wp:simplePos x="0" y="0"/>
                <wp:positionH relativeFrom="column">
                  <wp:posOffset>-455295</wp:posOffset>
                </wp:positionH>
                <wp:positionV relativeFrom="paragraph">
                  <wp:posOffset>113030</wp:posOffset>
                </wp:positionV>
                <wp:extent cx="333375" cy="259715"/>
                <wp:effectExtent l="0" t="0" r="9525" b="6985"/>
                <wp:wrapSquare wrapText="bothSides"/>
                <wp:docPr id="437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2107776" behindDoc="0" locked="0" layoutInCell="1" allowOverlap="1" wp14:anchorId="4DBBC720" wp14:editId="37D2EC0B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38" name="AutoShape 2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0" o:spid="_x0000_s1026" type="#_x0000_t32" style="position:absolute;margin-left:-35.9pt;margin-top:3.1pt;width:471.35pt;height:.0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CpBl+S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D13FDC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13FDC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DC" w:rsidRDefault="00D13FD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35C840E7" wp14:editId="5E6E9C2F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46A8EBD" wp14:editId="16F2D66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A1C" w:rsidRDefault="00CE3A1C" w:rsidP="005501A9">
      <w:pPr>
        <w:spacing w:after="0" w:line="240" w:lineRule="auto"/>
      </w:pPr>
      <w:r>
        <w:separator/>
      </w:r>
    </w:p>
  </w:footnote>
  <w:footnote w:type="continuationSeparator" w:id="0">
    <w:p w:rsidR="00CE3A1C" w:rsidRDefault="00CE3A1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DC" w:rsidRDefault="00D13F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5370BA">
    <w:pPr>
      <w:tabs>
        <w:tab w:val="center" w:pos="4680"/>
      </w:tabs>
      <w:spacing w:after="0" w:line="240" w:lineRule="auto"/>
      <w:ind w:right="90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2106752" behindDoc="0" locked="0" layoutInCell="1" allowOverlap="1" wp14:anchorId="2B6F5AD8" wp14:editId="69FCE463">
              <wp:simplePos x="0" y="0"/>
              <wp:positionH relativeFrom="column">
                <wp:posOffset>4959350</wp:posOffset>
              </wp:positionH>
              <wp:positionV relativeFrom="paragraph">
                <wp:posOffset>283210</wp:posOffset>
              </wp:positionV>
              <wp:extent cx="1050290" cy="349250"/>
              <wp:effectExtent l="0" t="0" r="16510" b="13335"/>
              <wp:wrapNone/>
              <wp:docPr id="63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OCALARH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390.5pt;margin-top:22.3pt;width:82.7pt;height:27.5pt;z-index:252106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OCALARH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 Capacitación y Asesoramiento en Asuntos</w:t>
    </w:r>
    <w:r w:rsidR="005370BA">
      <w:rPr>
        <w:noProof/>
        <w:sz w:val="32"/>
        <w:szCs w:val="32"/>
        <w:lang w:val="es-PR"/>
      </w:rPr>
      <w:t xml:space="preserve"> </w:t>
    </w:r>
    <w:r w:rsidRPr="00C62850">
      <w:rPr>
        <w:noProof/>
        <w:sz w:val="32"/>
        <w:szCs w:val="32"/>
        <w:lang w:val="es-PR"/>
      </w:rPr>
      <w:t>Laborales y de Administración de Recursos Humanos</w:t>
    </w:r>
    <w:r w:rsidR="003C7646">
      <w:rPr>
        <w:noProof/>
        <w:sz w:val="32"/>
        <w:szCs w:val="32"/>
        <w:lang w:val="es-PR"/>
      </w:rPr>
      <w:t xml:space="preserve"> (OCALARH)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DC" w:rsidRDefault="00D13FD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5E1279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OCALARH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5E1279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OCALARH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5E1279" w:rsidRPr="00C62850">
      <w:rPr>
        <w:noProof/>
        <w:sz w:val="32"/>
        <w:szCs w:val="32"/>
        <w:lang w:val="es-PR"/>
      </w:rPr>
      <w:t>Oficina de Capacitación y Asesoramiento en Asuntos</w:t>
    </w:r>
    <w:r w:rsidR="005E1279">
      <w:rPr>
        <w:noProof/>
        <w:sz w:val="32"/>
        <w:szCs w:val="32"/>
        <w:lang w:val="es-PR"/>
      </w:rPr>
      <w:t xml:space="preserve"> </w:t>
    </w:r>
    <w:r w:rsidR="005E1279" w:rsidRPr="00C62850">
      <w:rPr>
        <w:noProof/>
        <w:sz w:val="32"/>
        <w:szCs w:val="32"/>
        <w:lang w:val="es-PR"/>
      </w:rPr>
      <w:t>Laborales y de Administración de Recursos Humanos</w:t>
    </w:r>
    <w:r w:rsidR="005E1279">
      <w:rPr>
        <w:noProof/>
        <w:sz w:val="32"/>
        <w:szCs w:val="32"/>
        <w:lang w:val="es-PR"/>
      </w:rPr>
      <w:t xml:space="preserve"> (OCALARH)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C0F5F"/>
    <w:multiLevelType w:val="hybridMultilevel"/>
    <w:tmpl w:val="B25AD6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B51377"/>
    <w:multiLevelType w:val="multilevel"/>
    <w:tmpl w:val="04826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30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9"/>
  </w:num>
  <w:num w:numId="13">
    <w:abstractNumId w:val="3"/>
  </w:num>
  <w:num w:numId="14">
    <w:abstractNumId w:val="23"/>
  </w:num>
  <w:num w:numId="15">
    <w:abstractNumId w:val="6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5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110BC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279C"/>
    <w:rsid w:val="00114028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56A"/>
    <w:rsid w:val="0016664C"/>
    <w:rsid w:val="00173654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0126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C7646"/>
    <w:rsid w:val="003E0428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4F4BDB"/>
    <w:rsid w:val="00506097"/>
    <w:rsid w:val="005241A9"/>
    <w:rsid w:val="00527066"/>
    <w:rsid w:val="00532C7E"/>
    <w:rsid w:val="005370BA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E1279"/>
    <w:rsid w:val="005E39EB"/>
    <w:rsid w:val="005F07EB"/>
    <w:rsid w:val="005F7447"/>
    <w:rsid w:val="00600C7C"/>
    <w:rsid w:val="00614C19"/>
    <w:rsid w:val="006153F3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99C"/>
    <w:rsid w:val="00706AE9"/>
    <w:rsid w:val="00722794"/>
    <w:rsid w:val="00726CF4"/>
    <w:rsid w:val="007271F4"/>
    <w:rsid w:val="00735FB7"/>
    <w:rsid w:val="007415A2"/>
    <w:rsid w:val="0074728C"/>
    <w:rsid w:val="007504B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2EA9"/>
    <w:rsid w:val="00924F05"/>
    <w:rsid w:val="0092575A"/>
    <w:rsid w:val="00933418"/>
    <w:rsid w:val="0093666D"/>
    <w:rsid w:val="00951825"/>
    <w:rsid w:val="00953728"/>
    <w:rsid w:val="00963FB9"/>
    <w:rsid w:val="0097559D"/>
    <w:rsid w:val="00983F08"/>
    <w:rsid w:val="009A1E26"/>
    <w:rsid w:val="009B1620"/>
    <w:rsid w:val="009B26E4"/>
    <w:rsid w:val="009B2C9B"/>
    <w:rsid w:val="009C1375"/>
    <w:rsid w:val="009C3BD1"/>
    <w:rsid w:val="009D5454"/>
    <w:rsid w:val="009E10B3"/>
    <w:rsid w:val="009E6F83"/>
    <w:rsid w:val="009F33DB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C8F"/>
    <w:rsid w:val="00AF2EAF"/>
    <w:rsid w:val="00B03DC9"/>
    <w:rsid w:val="00B227D0"/>
    <w:rsid w:val="00B26E30"/>
    <w:rsid w:val="00B34D73"/>
    <w:rsid w:val="00B45ED1"/>
    <w:rsid w:val="00B51703"/>
    <w:rsid w:val="00B65025"/>
    <w:rsid w:val="00B671BF"/>
    <w:rsid w:val="00B80DEA"/>
    <w:rsid w:val="00B841AB"/>
    <w:rsid w:val="00B911A2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2910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2704"/>
    <w:rsid w:val="00C93E8C"/>
    <w:rsid w:val="00CA1937"/>
    <w:rsid w:val="00CB6078"/>
    <w:rsid w:val="00CD525F"/>
    <w:rsid w:val="00CD63D6"/>
    <w:rsid w:val="00CD66EA"/>
    <w:rsid w:val="00CD75DC"/>
    <w:rsid w:val="00CE3A1C"/>
    <w:rsid w:val="00CF03B8"/>
    <w:rsid w:val="00CF2784"/>
    <w:rsid w:val="00CF6CE6"/>
    <w:rsid w:val="00D06C9C"/>
    <w:rsid w:val="00D13FD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40A9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2163"/>
    <w:rsid w:val="00F3589A"/>
    <w:rsid w:val="00F425D9"/>
    <w:rsid w:val="00F44F70"/>
    <w:rsid w:val="00F5308E"/>
    <w:rsid w:val="00F62596"/>
    <w:rsid w:val="00F63F21"/>
    <w:rsid w:val="00F71A63"/>
    <w:rsid w:val="00F729BF"/>
    <w:rsid w:val="00F7510A"/>
    <w:rsid w:val="00F80327"/>
    <w:rsid w:val="00F8075F"/>
    <w:rsid w:val="00F814FC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ertitle1">
    <w:name w:val="headertitle1"/>
    <w:basedOn w:val="DefaultParagraphFont"/>
    <w:rsid w:val="00330126"/>
    <w:rPr>
      <w:rFonts w:ascii="Tahoma" w:hAnsi="Tahoma" w:cs="Tahoma" w:hint="default"/>
      <w:b/>
      <w:bCs/>
      <w:color w:val="003399"/>
      <w:sz w:val="20"/>
      <w:szCs w:val="20"/>
    </w:rPr>
  </w:style>
  <w:style w:type="paragraph" w:customStyle="1" w:styleId="s4-wptoptable1">
    <w:name w:val="s4-wptoptable1"/>
    <w:basedOn w:val="Normal"/>
    <w:rsid w:val="00F72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ertitle1">
    <w:name w:val="headertitle1"/>
    <w:basedOn w:val="DefaultParagraphFont"/>
    <w:rsid w:val="00330126"/>
    <w:rPr>
      <w:rFonts w:ascii="Tahoma" w:hAnsi="Tahoma" w:cs="Tahoma" w:hint="default"/>
      <w:b/>
      <w:bCs/>
      <w:color w:val="003399"/>
      <w:sz w:val="20"/>
      <w:szCs w:val="20"/>
    </w:rPr>
  </w:style>
  <w:style w:type="paragraph" w:customStyle="1" w:styleId="s4-wptoptable1">
    <w:name w:val="s4-wptoptable1"/>
    <w:basedOn w:val="Normal"/>
    <w:rsid w:val="00F72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26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5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30640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89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90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40119">
                                                  <w:marLeft w:val="45"/>
                                                  <w:marRight w:val="4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863863">
                                                  <w:marLeft w:val="45"/>
                                                  <w:marRight w:val="4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510406">
                                                  <w:marLeft w:val="45"/>
                                                  <w:marRight w:val="45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29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23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32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image" Target="media/image4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5" Type="http://schemas.openxmlformats.org/officeDocument/2006/relationships/hyperlink" Target="http://www.aeela.com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spnavigation.respondcrm.com/AppViewer.html?q=https://311prkb.respondcrm.com/respondweb/OCALARH-Directorio%20de%20Agencia/OCALARH-000-Directorio%20de%20Agencia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2.pr.gov/agencias/ocalarh/ServiciosProgramas/Pages/EscuelaEducacionContinua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yperlink" Target="http://www2.pr.gov/agencias/ocalarh/ServiciosProgramas/Pages/DivisionServiciosEspecializados.aspx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://www2.pr.gov/agencias/ocalarh/ServiciosProgramas/Pages/AsesAsuntosLegales.aspx" TargetMode="External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112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FFED-EDB3-40B7-B07A-1DDE2CB29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67140-DF17-4655-BC07-D615A45B051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9061FF5-D324-41C2-B33E-83DF5CB52C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9652B-7AFF-4D18-8401-84045B7B0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7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OCALARH</vt:lpstr>
    </vt:vector>
  </TitlesOfParts>
  <Company>Hewlett-Packard Company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OCALARH</dc:title>
  <dc:subject>Información General</dc:subject>
  <dc:creator>3-1-1 Tu Línea de Servicios de Gobierno</dc:creator>
  <cp:keywords>OCALARH</cp:keywords>
  <cp:lastModifiedBy>respondadmin</cp:lastModifiedBy>
  <cp:revision>7</cp:revision>
  <cp:lastPrinted>2012-08-19T23:18:00Z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