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F13F4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F13F45" w:rsidRDefault="0049566C" w:rsidP="00591CEE">
            <w:pPr>
              <w:pStyle w:val="NormalWeb"/>
              <w:rPr>
                <w:rFonts w:ascii="Verdana" w:hAnsi="Verdana" w:cs="Arial"/>
                <w:color w:val="000000"/>
                <w:sz w:val="20"/>
                <w:szCs w:val="20"/>
              </w:rPr>
            </w:pPr>
            <w:bookmarkStart w:id="0" w:name="_GoBack"/>
            <w:bookmarkEnd w:id="0"/>
            <w:r w:rsidRPr="00F13F45">
              <w:rPr>
                <w:b/>
                <w:noProof/>
                <w:sz w:val="28"/>
                <w:szCs w:val="28"/>
                <w:lang w:val="en-US"/>
              </w:rPr>
              <w:drawing>
                <wp:inline distT="0" distB="0" distL="0" distR="0" wp14:anchorId="5E5BF2E7" wp14:editId="08826B5A">
                  <wp:extent cx="267335" cy="276225"/>
                  <wp:effectExtent l="19050" t="0" r="0" b="0"/>
                  <wp:docPr id="44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F13F45" w:rsidRDefault="0049566C" w:rsidP="00A625BF">
            <w:pPr>
              <w:spacing w:after="0" w:line="240" w:lineRule="auto"/>
              <w:rPr>
                <w:rFonts w:asciiTheme="minorHAnsi" w:eastAsiaTheme="minorHAnsi" w:hAnsiTheme="minorHAnsi" w:cstheme="minorBidi"/>
                <w:b/>
                <w:sz w:val="28"/>
                <w:szCs w:val="28"/>
              </w:rPr>
            </w:pPr>
            <w:r w:rsidRPr="00F13F45">
              <w:rPr>
                <w:rFonts w:asciiTheme="minorHAnsi" w:eastAsiaTheme="minorHAnsi" w:hAnsiTheme="minorHAnsi" w:cstheme="minorBidi"/>
                <w:b/>
                <w:sz w:val="28"/>
                <w:szCs w:val="28"/>
              </w:rPr>
              <w:t xml:space="preserve">Descripción del Servicio </w:t>
            </w:r>
          </w:p>
        </w:tc>
      </w:tr>
    </w:tbl>
    <w:p w:rsidR="0049566C" w:rsidRPr="00F13F45" w:rsidRDefault="0049566C" w:rsidP="002241F3">
      <w:pPr>
        <w:pStyle w:val="NormalWeb"/>
        <w:spacing w:before="120" w:beforeAutospacing="0" w:after="120" w:afterAutospacing="0"/>
        <w:rPr>
          <w:rFonts w:asciiTheme="minorHAnsi" w:hAnsiTheme="minorHAnsi" w:cs="Arial"/>
          <w:color w:val="000000"/>
          <w:sz w:val="22"/>
          <w:szCs w:val="22"/>
        </w:rPr>
      </w:pPr>
      <w:r w:rsidRPr="00F13F45">
        <w:rPr>
          <w:rFonts w:asciiTheme="minorHAnsi" w:hAnsiTheme="minorHAnsi" w:cs="Arial"/>
          <w:color w:val="000000"/>
        </w:rPr>
        <w:t>La Oficina de Gerencia y Presupuesto asiste y asesora al Gobernador y a las tres ramas de Gobierno en la administración y uso de los recursos públicos y otros aspectos gerenciales para promover un gobierno efectivo que garantice los resultados que los ciudadanos valoran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F13F4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F13F45" w:rsidRDefault="0049566C" w:rsidP="00F3589A">
            <w:pPr>
              <w:pStyle w:val="NormalWeb"/>
              <w:rPr>
                <w:rFonts w:ascii="Verdana" w:hAnsi="Verdana" w:cs="Arial"/>
                <w:color w:val="000000"/>
                <w:sz w:val="20"/>
                <w:szCs w:val="20"/>
              </w:rPr>
            </w:pPr>
            <w:r w:rsidRPr="00F13F45">
              <w:rPr>
                <w:rFonts w:ascii="Arial" w:hAnsi="Arial" w:cs="Arial"/>
                <w:noProof/>
                <w:sz w:val="20"/>
                <w:szCs w:val="20"/>
                <w:lang w:val="en-US"/>
              </w:rPr>
              <w:drawing>
                <wp:inline distT="0" distB="0" distL="0" distR="0" wp14:anchorId="6BD83C4F" wp14:editId="618E9616">
                  <wp:extent cx="276225" cy="276225"/>
                  <wp:effectExtent l="19050" t="0" r="9525" b="0"/>
                  <wp:docPr id="447"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F13F45" w:rsidRDefault="0049566C" w:rsidP="00A625BF">
            <w:pPr>
              <w:spacing w:after="0" w:line="240" w:lineRule="auto"/>
              <w:rPr>
                <w:rFonts w:asciiTheme="minorHAnsi" w:eastAsiaTheme="minorHAnsi" w:hAnsiTheme="minorHAnsi" w:cstheme="minorBidi"/>
                <w:b/>
                <w:sz w:val="28"/>
                <w:szCs w:val="28"/>
              </w:rPr>
            </w:pPr>
            <w:r w:rsidRPr="00F13F45">
              <w:rPr>
                <w:rFonts w:asciiTheme="minorHAnsi" w:eastAsiaTheme="minorHAnsi" w:hAnsiTheme="minorHAnsi" w:cstheme="minorBidi"/>
                <w:b/>
                <w:sz w:val="28"/>
                <w:szCs w:val="28"/>
              </w:rPr>
              <w:t xml:space="preserve">Lugar y Horario de Servicio </w:t>
            </w:r>
          </w:p>
        </w:tc>
      </w:tr>
    </w:tbl>
    <w:p w:rsidR="0049566C" w:rsidRDefault="00275FFB" w:rsidP="00F240F5">
      <w:pPr>
        <w:shd w:val="clear" w:color="auto" w:fill="FFFFFF"/>
        <w:spacing w:before="120" w:after="120" w:line="240" w:lineRule="auto"/>
        <w:rPr>
          <w:rStyle w:val="Hyperlink"/>
          <w:rFonts w:cs="Arial"/>
        </w:rPr>
      </w:pPr>
      <w:hyperlink r:id="rId14" w:history="1">
        <w:r w:rsidR="0049566C" w:rsidRPr="00F13F45">
          <w:rPr>
            <w:rStyle w:val="Hyperlink"/>
            <w:rFonts w:cs="Arial"/>
          </w:rPr>
          <w:t>Directorio de OGP</w:t>
        </w:r>
      </w:hyperlink>
    </w:p>
    <w:p w:rsidR="00F431F3" w:rsidRDefault="00F431F3" w:rsidP="00F240F5">
      <w:pPr>
        <w:shd w:val="clear" w:color="auto" w:fill="FFFFFF"/>
        <w:spacing w:before="120" w:after="120" w:line="240" w:lineRule="auto"/>
        <w:rPr>
          <w:rStyle w:val="Hyperlink"/>
          <w:rFonts w:cs="Arial"/>
          <w:color w:val="auto"/>
          <w:u w:val="none"/>
        </w:rPr>
      </w:pPr>
      <w:r w:rsidRPr="00F431F3">
        <w:rPr>
          <w:rStyle w:val="Hyperlink"/>
          <w:rFonts w:cs="Arial"/>
          <w:color w:val="auto"/>
          <w:u w:val="none"/>
        </w:rPr>
        <w:t>Transacciones en PR.GOV:</w:t>
      </w:r>
    </w:p>
    <w:p w:rsidR="00F431F3" w:rsidRPr="00C34200" w:rsidRDefault="00275FFB" w:rsidP="00F431F3">
      <w:pPr>
        <w:pStyle w:val="ListParagraph"/>
        <w:numPr>
          <w:ilvl w:val="0"/>
          <w:numId w:val="31"/>
        </w:numPr>
        <w:shd w:val="clear" w:color="auto" w:fill="FFFFFF"/>
        <w:spacing w:before="120" w:after="120" w:line="240" w:lineRule="auto"/>
        <w:rPr>
          <w:rFonts w:asciiTheme="minorHAnsi" w:hAnsiTheme="minorHAnsi" w:cstheme="minorHAnsi"/>
          <w:lang w:val="es-PR"/>
        </w:rPr>
      </w:pPr>
      <w:hyperlink r:id="rId15" w:history="1">
        <w:r w:rsidR="00F431F3" w:rsidRPr="00C34200">
          <w:rPr>
            <w:rFonts w:asciiTheme="minorHAnsi" w:hAnsiTheme="minorHAnsi" w:cstheme="minorHAnsi"/>
            <w:color w:val="000000" w:themeColor="text1"/>
            <w:lang w:val="es-PR"/>
          </w:rPr>
          <w:t>Mapa Interactivo</w:t>
        </w:r>
      </w:hyperlink>
    </w:p>
    <w:p w:rsidR="00F431F3" w:rsidRPr="00C34200" w:rsidRDefault="00F431F3" w:rsidP="00F431F3">
      <w:pPr>
        <w:pStyle w:val="ListParagraph"/>
        <w:numPr>
          <w:ilvl w:val="0"/>
          <w:numId w:val="31"/>
        </w:numPr>
        <w:shd w:val="clear" w:color="auto" w:fill="FFFFFF"/>
        <w:spacing w:before="120" w:after="120" w:line="240" w:lineRule="auto"/>
        <w:rPr>
          <w:rFonts w:asciiTheme="minorHAnsi" w:hAnsiTheme="minorHAnsi" w:cstheme="minorHAnsi"/>
          <w:lang w:val="es-PR"/>
        </w:rPr>
      </w:pPr>
      <w:r w:rsidRPr="00C34200">
        <w:rPr>
          <w:rFonts w:asciiTheme="minorHAnsi" w:eastAsia="Times New Roman" w:hAnsiTheme="minorHAnsi" w:cstheme="minorHAnsi"/>
          <w:noProof/>
          <w:color w:val="000000" w:themeColor="text1"/>
          <w:lang w:val="es-PR"/>
        </w:rPr>
        <w:t>Proceso de cambio de contraseñas para la aplicación del certificado de nacimiento y PAN/TANF</w:t>
      </w:r>
    </w:p>
    <w:p w:rsidR="00F431F3" w:rsidRPr="00C34200" w:rsidRDefault="00F431F3" w:rsidP="00F431F3">
      <w:pPr>
        <w:pStyle w:val="ListParagraph"/>
        <w:numPr>
          <w:ilvl w:val="0"/>
          <w:numId w:val="31"/>
        </w:numPr>
        <w:shd w:val="clear" w:color="auto" w:fill="FFFFFF"/>
        <w:spacing w:before="120" w:after="120" w:line="240" w:lineRule="auto"/>
        <w:rPr>
          <w:rFonts w:asciiTheme="minorHAnsi" w:hAnsiTheme="minorHAnsi" w:cstheme="minorHAnsi"/>
          <w:lang w:val="es-PR"/>
        </w:rPr>
      </w:pPr>
      <w:r w:rsidRPr="00C34200">
        <w:rPr>
          <w:rFonts w:asciiTheme="minorHAnsi" w:eastAsia="Times New Roman" w:hAnsiTheme="minorHAnsi" w:cstheme="minorHAnsi"/>
          <w:noProof/>
          <w:color w:val="000000" w:themeColor="text1"/>
          <w:lang w:val="es-PR"/>
        </w:rPr>
        <w:t>Programa de Oportunidades de Horario Reducido</w:t>
      </w:r>
    </w:p>
    <w:p w:rsidR="00F431F3" w:rsidRPr="00C34200" w:rsidRDefault="00F431F3" w:rsidP="00F431F3">
      <w:pPr>
        <w:pStyle w:val="ListParagraph"/>
        <w:numPr>
          <w:ilvl w:val="0"/>
          <w:numId w:val="31"/>
        </w:numPr>
        <w:shd w:val="clear" w:color="auto" w:fill="FFFFFF"/>
        <w:spacing w:before="120" w:after="120" w:line="240" w:lineRule="auto"/>
        <w:rPr>
          <w:rFonts w:asciiTheme="minorHAnsi" w:hAnsiTheme="minorHAnsi" w:cstheme="minorHAnsi"/>
          <w:lang w:val="es-PR"/>
        </w:rPr>
      </w:pPr>
      <w:r w:rsidRPr="00C34200">
        <w:rPr>
          <w:rFonts w:asciiTheme="minorHAnsi" w:hAnsiTheme="minorHAnsi" w:cstheme="minorHAnsi"/>
          <w:color w:val="000000" w:themeColor="text1"/>
          <w:lang w:val="es-PR"/>
        </w:rPr>
        <w:t>Licenciamiento</w:t>
      </w:r>
    </w:p>
    <w:p w:rsidR="00F431F3" w:rsidRPr="00C34200" w:rsidRDefault="00F431F3" w:rsidP="00F431F3">
      <w:pPr>
        <w:pStyle w:val="ListParagraph"/>
        <w:numPr>
          <w:ilvl w:val="0"/>
          <w:numId w:val="31"/>
        </w:numPr>
        <w:shd w:val="clear" w:color="auto" w:fill="FFFFFF"/>
        <w:spacing w:before="120" w:after="120" w:line="240" w:lineRule="auto"/>
        <w:rPr>
          <w:rFonts w:asciiTheme="minorHAnsi" w:hAnsiTheme="minorHAnsi" w:cstheme="minorHAnsi"/>
          <w:lang w:val="es-PR"/>
        </w:rPr>
      </w:pPr>
      <w:r w:rsidRPr="00C34200">
        <w:rPr>
          <w:rFonts w:asciiTheme="minorHAnsi" w:hAnsiTheme="minorHAnsi" w:cstheme="minorHAnsi"/>
          <w:color w:val="000000" w:themeColor="text1"/>
          <w:lang w:val="es-PR"/>
        </w:rPr>
        <w:t>Budget vs Actual</w:t>
      </w:r>
    </w:p>
    <w:p w:rsidR="00F431F3" w:rsidRPr="00C34200" w:rsidRDefault="00F431F3" w:rsidP="00F431F3">
      <w:pPr>
        <w:pStyle w:val="ListParagraph"/>
        <w:numPr>
          <w:ilvl w:val="0"/>
          <w:numId w:val="31"/>
        </w:numPr>
        <w:shd w:val="clear" w:color="auto" w:fill="FFFFFF"/>
        <w:spacing w:before="120" w:after="120" w:line="240" w:lineRule="auto"/>
        <w:rPr>
          <w:rFonts w:asciiTheme="minorHAnsi" w:hAnsiTheme="minorHAnsi" w:cstheme="minorHAnsi"/>
          <w:lang w:val="es-PR"/>
        </w:rPr>
      </w:pPr>
      <w:r w:rsidRPr="00C34200">
        <w:rPr>
          <w:rFonts w:asciiTheme="minorHAnsi" w:hAnsiTheme="minorHAnsi" w:cstheme="minorHAnsi"/>
          <w:bCs/>
          <w:color w:val="000000" w:themeColor="text1"/>
          <w:lang w:val="es-PR"/>
        </w:rPr>
        <w:t>Procesamiento de contratos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F13F4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F13F45" w:rsidRDefault="0049566C" w:rsidP="0011279C">
            <w:pPr>
              <w:pStyle w:val="NormalWeb"/>
              <w:rPr>
                <w:rFonts w:ascii="Verdana" w:hAnsi="Verdana" w:cs="Arial"/>
                <w:color w:val="000000"/>
                <w:sz w:val="20"/>
                <w:szCs w:val="20"/>
              </w:rPr>
            </w:pPr>
            <w:r w:rsidRPr="00F13F45">
              <w:rPr>
                <w:rFonts w:ascii="Arial" w:hAnsi="Arial" w:cs="Arial"/>
                <w:noProof/>
                <w:sz w:val="20"/>
                <w:szCs w:val="20"/>
                <w:lang w:val="en-US"/>
              </w:rPr>
              <w:drawing>
                <wp:inline distT="0" distB="0" distL="0" distR="0" wp14:anchorId="3620BFB5" wp14:editId="216743F2">
                  <wp:extent cx="276225" cy="276225"/>
                  <wp:effectExtent l="19050" t="0" r="9525" b="0"/>
                  <wp:docPr id="448"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F13F45">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F13F45" w:rsidRDefault="0049566C" w:rsidP="00A625BF">
            <w:pPr>
              <w:spacing w:after="0" w:line="240" w:lineRule="auto"/>
              <w:rPr>
                <w:rFonts w:asciiTheme="minorHAnsi" w:eastAsiaTheme="minorHAnsi" w:hAnsiTheme="minorHAnsi" w:cstheme="minorBidi"/>
                <w:b/>
                <w:sz w:val="28"/>
                <w:szCs w:val="28"/>
              </w:rPr>
            </w:pPr>
            <w:r w:rsidRPr="00F13F45">
              <w:rPr>
                <w:rFonts w:asciiTheme="minorHAnsi" w:eastAsiaTheme="minorHAnsi" w:hAnsiTheme="minorHAnsi" w:cstheme="minorBidi"/>
                <w:b/>
                <w:sz w:val="28"/>
                <w:szCs w:val="28"/>
              </w:rPr>
              <w:t>Preguntas Frecuentes</w:t>
            </w:r>
          </w:p>
        </w:tc>
      </w:tr>
    </w:tbl>
    <w:p w:rsidR="0049566C" w:rsidRPr="00F13F45" w:rsidRDefault="0049566C" w:rsidP="00A25135">
      <w:pPr>
        <w:spacing w:before="120" w:after="120" w:line="240" w:lineRule="auto"/>
        <w:rPr>
          <w:rFonts w:eastAsia="Times New Roman" w:cs="Arial"/>
          <w:color w:val="000000"/>
        </w:rPr>
      </w:pPr>
      <w:r w:rsidRPr="00F13F45">
        <w:rPr>
          <w:rFonts w:eastAsia="Times New Roman" w:cs="Arial"/>
          <w:color w:val="000000"/>
        </w:rPr>
        <w:t>Algunos de los servicios ofrecidos por la agencia son los siguientes:</w:t>
      </w:r>
    </w:p>
    <w:p w:rsidR="0049566C" w:rsidRPr="00F13F45" w:rsidRDefault="0049566C" w:rsidP="00A25135">
      <w:pPr>
        <w:spacing w:before="120" w:after="120" w:line="240" w:lineRule="auto"/>
        <w:rPr>
          <w:rFonts w:eastAsia="Times New Roman" w:cs="Arial"/>
          <w:color w:val="000000"/>
        </w:rPr>
        <w:sectPr w:rsidR="0049566C" w:rsidRPr="00F13F45" w:rsidSect="0049566C">
          <w:headerReference w:type="even" r:id="rId17"/>
          <w:headerReference w:type="default" r:id="rId18"/>
          <w:footerReference w:type="even" r:id="rId19"/>
          <w:footerReference w:type="default" r:id="rId20"/>
          <w:headerReference w:type="first" r:id="rId21"/>
          <w:footerReference w:type="first" r:id="rId2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D572E8" w:rsidRPr="00F13F45" w:rsidRDefault="00D572E8" w:rsidP="00F13F45">
      <w:pPr>
        <w:pStyle w:val="ListParagraph"/>
        <w:numPr>
          <w:ilvl w:val="0"/>
          <w:numId w:val="30"/>
        </w:numPr>
        <w:spacing w:before="120" w:after="120" w:line="240" w:lineRule="auto"/>
        <w:contextualSpacing w:val="0"/>
        <w:jc w:val="both"/>
        <w:rPr>
          <w:rFonts w:eastAsia="Times New Roman" w:cs="Calibri"/>
          <w:color w:val="000000"/>
          <w:lang w:eastAsia="es-ES_tradnl"/>
        </w:rPr>
      </w:pPr>
      <w:r w:rsidRPr="00F13F45">
        <w:rPr>
          <w:rFonts w:eastAsia="Times New Roman" w:cs="Calibri"/>
          <w:color w:val="000000"/>
          <w:lang w:eastAsia="es-ES_tradnl"/>
        </w:rPr>
        <w:lastRenderedPageBreak/>
        <w:t xml:space="preserve">Asistir y asesorar al Gobernador y a las tres Ramas de Gobierno en la administración y uso de los recursos públicos, así como en otros aspectos gerenciales, con el fin de promover un gobierno efectivo y una sana administración fiscal. </w:t>
      </w:r>
    </w:p>
    <w:p w:rsidR="0049566C" w:rsidRPr="00F13F45" w:rsidRDefault="00C6034A" w:rsidP="00F13F45">
      <w:pPr>
        <w:pStyle w:val="ListParagraph"/>
        <w:numPr>
          <w:ilvl w:val="0"/>
          <w:numId w:val="30"/>
        </w:numPr>
        <w:spacing w:before="120" w:after="120" w:line="240" w:lineRule="auto"/>
        <w:contextualSpacing w:val="0"/>
        <w:jc w:val="both"/>
        <w:rPr>
          <w:rFonts w:eastAsia="Times New Roman" w:cs="Calibri"/>
          <w:color w:val="000000"/>
          <w:lang w:eastAsia="es-ES_tradnl"/>
        </w:rPr>
      </w:pPr>
      <w:bookmarkStart w:id="1" w:name="PROG2039"/>
      <w:r w:rsidRPr="00F13F45">
        <w:rPr>
          <w:rFonts w:eastAsia="Times New Roman" w:cs="Calibri"/>
          <w:color w:val="000000"/>
          <w:lang w:eastAsia="es-ES_tradnl"/>
        </w:rPr>
        <w:t>Realiza evaluaciones especiales en las agencias gubernamentales, con el propósito de facilitar el logro de sus objetivos programáticos, al menor costo posible y dentro del presupuesto asignado.</w:t>
      </w:r>
      <w:bookmarkEnd w:id="1"/>
    </w:p>
    <w:p w:rsidR="00F13F45" w:rsidRPr="00F13F45" w:rsidRDefault="00F13F45" w:rsidP="00F13F45">
      <w:pPr>
        <w:pStyle w:val="ListParagraph"/>
        <w:numPr>
          <w:ilvl w:val="0"/>
          <w:numId w:val="30"/>
        </w:numPr>
        <w:spacing w:before="120" w:after="120" w:line="240" w:lineRule="auto"/>
        <w:contextualSpacing w:val="0"/>
        <w:jc w:val="both"/>
        <w:rPr>
          <w:rFonts w:ascii="Times New Roman" w:eastAsia="Times New Roman" w:hAnsi="Times New Roman"/>
          <w:lang w:eastAsia="es-ES_tradnl"/>
        </w:rPr>
      </w:pPr>
      <w:bookmarkStart w:id="2" w:name="PROG0001"/>
      <w:r w:rsidRPr="00F13F45">
        <w:rPr>
          <w:rFonts w:eastAsia="Times New Roman" w:cs="Calibri"/>
          <w:color w:val="000000"/>
          <w:lang w:eastAsia="es-ES_tradnl"/>
        </w:rPr>
        <w:t>Se encarga de formular e implantar la política presupuestaria y gerencial del Gobierno de Puerto Rico, mediante la adopción de normas y guías aplicables a los organismos públicos. Además, supervisa el funcionamiento interno de la Oficina y le brinda dirección a cada unidad.</w:t>
      </w:r>
      <w:r w:rsidRPr="00F13F45">
        <w:rPr>
          <w:rFonts w:ascii="Times New Roman" w:eastAsia="Times New Roman" w:hAnsi="Times New Roman"/>
          <w:lang w:eastAsia="es-ES_tradnl"/>
        </w:rPr>
        <w:t xml:space="preserve"> </w:t>
      </w:r>
    </w:p>
    <w:p w:rsidR="00F13F45" w:rsidRPr="00DA2004" w:rsidRDefault="00F13F45" w:rsidP="00DA2004">
      <w:pPr>
        <w:pStyle w:val="ListParagraph"/>
        <w:numPr>
          <w:ilvl w:val="0"/>
          <w:numId w:val="30"/>
        </w:numPr>
        <w:spacing w:before="120" w:after="120" w:line="240" w:lineRule="auto"/>
        <w:contextualSpacing w:val="0"/>
        <w:jc w:val="both"/>
        <w:rPr>
          <w:rFonts w:asciiTheme="minorHAnsi" w:eastAsia="Times New Roman" w:hAnsiTheme="minorHAnsi" w:cstheme="minorHAnsi"/>
          <w:lang w:eastAsia="es-ES_tradnl"/>
        </w:rPr>
      </w:pPr>
      <w:bookmarkStart w:id="3" w:name="PROG2065"/>
      <w:bookmarkEnd w:id="2"/>
      <w:r w:rsidRPr="00DA2004">
        <w:rPr>
          <w:rFonts w:asciiTheme="minorHAnsi" w:eastAsia="Times New Roman" w:hAnsiTheme="minorHAnsi" w:cstheme="minorHAnsi"/>
          <w:color w:val="000000"/>
          <w:lang w:eastAsia="es-ES_tradnl"/>
        </w:rPr>
        <w:t>Prepara el Presupuesto Anual de Gastos Operacionales y Mejoras Permanentes del Gobierno de Puerto Rico que presenta el Gobernador ante la Asamblea Legislativa. Además, ofrece asesoramiento y apoyo a las agencias en la administración de dicho presupuesto. Como parte de sus funciones, analiza y aprueba proyecciones de gastos, transacciones de personal, análisis de medidas legislativas y otras acciones que conlleven impacto fiscal.</w:t>
      </w:r>
      <w:r w:rsidRPr="00DA2004">
        <w:rPr>
          <w:rFonts w:asciiTheme="minorHAnsi" w:eastAsia="Times New Roman" w:hAnsiTheme="minorHAnsi" w:cstheme="minorHAnsi"/>
          <w:lang w:eastAsia="es-ES_tradnl"/>
        </w:rPr>
        <w:t xml:space="preserve"> </w:t>
      </w:r>
    </w:p>
    <w:p w:rsidR="00F13F45" w:rsidRPr="00C52EA6" w:rsidRDefault="00DA2004" w:rsidP="00DA2004">
      <w:pPr>
        <w:pStyle w:val="ListParagraph"/>
        <w:numPr>
          <w:ilvl w:val="0"/>
          <w:numId w:val="30"/>
        </w:numPr>
        <w:spacing w:before="120" w:after="120" w:line="240" w:lineRule="auto"/>
        <w:contextualSpacing w:val="0"/>
        <w:jc w:val="both"/>
        <w:rPr>
          <w:rFonts w:asciiTheme="minorHAnsi" w:eastAsia="Times New Roman" w:hAnsiTheme="minorHAnsi" w:cstheme="minorHAnsi"/>
          <w:color w:val="000000"/>
          <w:lang w:eastAsia="es-ES_tradnl"/>
        </w:rPr>
      </w:pPr>
      <w:bookmarkStart w:id="4" w:name="PROG2072"/>
      <w:bookmarkEnd w:id="3"/>
      <w:r w:rsidRPr="00DA2004">
        <w:rPr>
          <w:rFonts w:asciiTheme="minorHAnsi" w:hAnsiTheme="minorHAnsi" w:cstheme="minorHAnsi"/>
          <w:color w:val="000000"/>
        </w:rPr>
        <w:t>Administrar y distribuir los fondos aprobados por la "Federal Emergency Management Agency" (FEMA, por sus siglas en inglés) que se encuentran bajo la custodia de la OGP. De la misma forma, actúa como enlace entre FEMA y todas las entidades que reciben los fondos, para atender las necesidades originadas por desastres. Provee seguimiento a los participantes para garantizar el buen uso de los fondos.</w:t>
      </w:r>
      <w:bookmarkEnd w:id="4"/>
    </w:p>
    <w:p w:rsidR="00C52EA6" w:rsidRPr="00C52EA6" w:rsidRDefault="008F3011" w:rsidP="00DA2004">
      <w:pPr>
        <w:pStyle w:val="ListParagraph"/>
        <w:numPr>
          <w:ilvl w:val="0"/>
          <w:numId w:val="30"/>
        </w:numPr>
        <w:spacing w:before="120" w:after="120" w:line="240" w:lineRule="auto"/>
        <w:contextualSpacing w:val="0"/>
        <w:jc w:val="both"/>
        <w:rPr>
          <w:rFonts w:asciiTheme="minorHAnsi" w:hAnsiTheme="minorHAnsi" w:cstheme="minorHAnsi"/>
          <w:color w:val="000000"/>
        </w:rPr>
      </w:pPr>
      <w:bookmarkStart w:id="5" w:name="PROG2040"/>
      <w:r>
        <w:rPr>
          <w:rFonts w:asciiTheme="minorHAnsi" w:hAnsiTheme="minorHAnsi" w:cstheme="minorHAnsi"/>
          <w:color w:val="000000"/>
        </w:rPr>
        <w:t>S</w:t>
      </w:r>
      <w:r w:rsidR="00C52EA6" w:rsidRPr="00C52EA6">
        <w:rPr>
          <w:rFonts w:asciiTheme="minorHAnsi" w:hAnsiTheme="minorHAnsi" w:cstheme="minorHAnsi"/>
          <w:color w:val="000000"/>
        </w:rPr>
        <w:t>e investigan controversias sobre pagos y deudas entre agencias gubernamentales. Además, colabora con otras agencias en la investigación y resolución de estas controversias.</w:t>
      </w:r>
      <w:bookmarkEnd w:id="5"/>
    </w:p>
    <w:sectPr w:rsidR="00C52EA6" w:rsidRPr="00C52EA6" w:rsidSect="0049566C">
      <w:headerReference w:type="default" r:id="rId23"/>
      <w:footerReference w:type="default" r:id="rId24"/>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8A" w:rsidRDefault="00217B8A" w:rsidP="005501A9">
      <w:pPr>
        <w:spacing w:after="0" w:line="240" w:lineRule="auto"/>
      </w:pPr>
      <w:r>
        <w:separator/>
      </w:r>
    </w:p>
  </w:endnote>
  <w:endnote w:type="continuationSeparator" w:id="0">
    <w:p w:rsidR="00217B8A" w:rsidRDefault="00217B8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2118016" behindDoc="0" locked="0" layoutInCell="1" allowOverlap="1" wp14:anchorId="2D136FF9" wp14:editId="5DBB67DD">
                <wp:simplePos x="0" y="0"/>
                <wp:positionH relativeFrom="column">
                  <wp:posOffset>-457200</wp:posOffset>
                </wp:positionH>
                <wp:positionV relativeFrom="paragraph">
                  <wp:posOffset>116205</wp:posOffset>
                </wp:positionV>
                <wp:extent cx="333375" cy="259715"/>
                <wp:effectExtent l="0" t="0" r="9525" b="6985"/>
                <wp:wrapSquare wrapText="bothSides"/>
                <wp:docPr id="4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lang w:val="en-US"/>
            </w:rPr>
            <mc:AlternateContent>
              <mc:Choice Requires="wps">
                <w:drawing>
                  <wp:anchor distT="0" distB="0" distL="114300" distR="114300" simplePos="0" relativeHeight="252120064" behindDoc="0" locked="0" layoutInCell="1" allowOverlap="1" wp14:anchorId="798C8344" wp14:editId="1E94BCD2">
                    <wp:simplePos x="0" y="0"/>
                    <wp:positionH relativeFrom="column">
                      <wp:posOffset>-455930</wp:posOffset>
                    </wp:positionH>
                    <wp:positionV relativeFrom="paragraph">
                      <wp:posOffset>39370</wp:posOffset>
                    </wp:positionV>
                    <wp:extent cx="5986145" cy="635"/>
                    <wp:effectExtent l="10795" t="10795" r="13335" b="7620"/>
                    <wp:wrapNone/>
                    <wp:docPr id="632"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26" o:spid="_x0000_s1026" type="#_x0000_t32" style="position:absolute;margin-left:-35.9pt;margin-top:3.1pt;width:471.35pt;height:.0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"/>
                </w:pict>
              </mc:Fallback>
            </mc:AlternateContent>
          </w:r>
        </w:p>
      </w:tc>
      <w:tc>
        <w:tcPr>
          <w:tcW w:w="4194" w:type="dxa"/>
          <w:shd w:val="clear" w:color="auto" w:fill="FFFFFF" w:themeFill="background1"/>
          <w:vAlign w:val="center"/>
        </w:tcPr>
        <w:p w:rsidR="004372B7" w:rsidRPr="00A625BF" w:rsidRDefault="004E5C43" w:rsidP="00A625BF">
          <w:pPr>
            <w:pStyle w:val="Footer"/>
            <w:jc w:val="center"/>
            <w:rPr>
              <w:rFonts w:asciiTheme="minorHAnsi" w:eastAsiaTheme="minorHAnsi" w:hAnsiTheme="minorHAnsi" w:cstheme="minorBidi"/>
              <w:lang w:val="es-PR"/>
            </w:rPr>
          </w:pPr>
          <w:r w:rsidRPr="004E5C43">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lang w:val="en-US"/>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8A" w:rsidRDefault="00217B8A" w:rsidP="005501A9">
      <w:pPr>
        <w:spacing w:after="0" w:line="240" w:lineRule="auto"/>
      </w:pPr>
      <w:r>
        <w:separator/>
      </w:r>
    </w:p>
  </w:footnote>
  <w:footnote w:type="continuationSeparator" w:id="0">
    <w:p w:rsidR="00217B8A" w:rsidRDefault="00217B8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2119040" behindDoc="0" locked="0" layoutInCell="1" allowOverlap="1" wp14:anchorId="3AACFF50" wp14:editId="19CB734F">
              <wp:simplePos x="0" y="0"/>
              <wp:positionH relativeFrom="column">
                <wp:posOffset>4946650</wp:posOffset>
              </wp:positionH>
              <wp:positionV relativeFrom="paragraph">
                <wp:posOffset>84455</wp:posOffset>
              </wp:positionV>
              <wp:extent cx="1050290" cy="349250"/>
              <wp:effectExtent l="12700" t="8255" r="13335" b="13970"/>
              <wp:wrapNone/>
              <wp:docPr id="63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OGP</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5" o:spid="_x0000_s1026" type="#_x0000_t202" style="position:absolute;margin-left:389.5pt;margin-top:6.65pt;width:82.7pt;height:27.5pt;z-index:25211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OGP</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Oficina de Gerencia y Presupuesto</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43" w:rsidRDefault="004E5C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Comisión de Derechos Civiles</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040B4"/>
    <w:multiLevelType w:val="hybridMultilevel"/>
    <w:tmpl w:val="A396458A"/>
    <w:lvl w:ilvl="0" w:tplc="15A0D82C">
      <w:numFmt w:val="bullet"/>
      <w:lvlText w:val="-"/>
      <w:lvlJc w:val="left"/>
      <w:pPr>
        <w:ind w:left="1080" w:hanging="360"/>
      </w:pPr>
      <w:rPr>
        <w:rFonts w:ascii="Calibri" w:eastAsia="Calibri" w:hAnsi="Calibri" w:cs="Calibri"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EC62522"/>
    <w:multiLevelType w:val="hybridMultilevel"/>
    <w:tmpl w:val="37F2B3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5"/>
  </w:num>
  <w:num w:numId="3">
    <w:abstractNumId w:val="26"/>
  </w:num>
  <w:num w:numId="4">
    <w:abstractNumId w:val="30"/>
  </w:num>
  <w:num w:numId="5">
    <w:abstractNumId w:val="16"/>
  </w:num>
  <w:num w:numId="6">
    <w:abstractNumId w:val="12"/>
  </w:num>
  <w:num w:numId="7">
    <w:abstractNumId w:val="19"/>
  </w:num>
  <w:num w:numId="8">
    <w:abstractNumId w:val="10"/>
  </w:num>
  <w:num w:numId="9">
    <w:abstractNumId w:val="23"/>
  </w:num>
  <w:num w:numId="10">
    <w:abstractNumId w:val="9"/>
  </w:num>
  <w:num w:numId="11">
    <w:abstractNumId w:val="1"/>
  </w:num>
  <w:num w:numId="12">
    <w:abstractNumId w:val="29"/>
  </w:num>
  <w:num w:numId="13">
    <w:abstractNumId w:val="3"/>
  </w:num>
  <w:num w:numId="14">
    <w:abstractNumId w:val="24"/>
  </w:num>
  <w:num w:numId="15">
    <w:abstractNumId w:val="5"/>
  </w:num>
  <w:num w:numId="16">
    <w:abstractNumId w:val="18"/>
  </w:num>
  <w:num w:numId="17">
    <w:abstractNumId w:val="4"/>
  </w:num>
  <w:num w:numId="18">
    <w:abstractNumId w:val="22"/>
  </w:num>
  <w:num w:numId="19">
    <w:abstractNumId w:val="13"/>
  </w:num>
  <w:num w:numId="20">
    <w:abstractNumId w:val="20"/>
  </w:num>
  <w:num w:numId="21">
    <w:abstractNumId w:val="11"/>
  </w:num>
  <w:num w:numId="22">
    <w:abstractNumId w:val="2"/>
  </w:num>
  <w:num w:numId="23">
    <w:abstractNumId w:val="27"/>
  </w:num>
  <w:num w:numId="24">
    <w:abstractNumId w:val="28"/>
  </w:num>
  <w:num w:numId="25">
    <w:abstractNumId w:val="8"/>
  </w:num>
  <w:num w:numId="26">
    <w:abstractNumId w:val="0"/>
  </w:num>
  <w:num w:numId="27">
    <w:abstractNumId w:val="17"/>
  </w:num>
  <w:num w:numId="28">
    <w:abstractNumId w:val="15"/>
  </w:num>
  <w:num w:numId="29">
    <w:abstractNumId w:val="14"/>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1C92"/>
    <w:rsid w:val="000B2831"/>
    <w:rsid w:val="000B69D3"/>
    <w:rsid w:val="000C5283"/>
    <w:rsid w:val="000D60F9"/>
    <w:rsid w:val="000E4017"/>
    <w:rsid w:val="000F40B6"/>
    <w:rsid w:val="000F7989"/>
    <w:rsid w:val="00101DAB"/>
    <w:rsid w:val="00101F32"/>
    <w:rsid w:val="0011279C"/>
    <w:rsid w:val="001143FE"/>
    <w:rsid w:val="00122E19"/>
    <w:rsid w:val="00126FC9"/>
    <w:rsid w:val="001307A4"/>
    <w:rsid w:val="00133BAB"/>
    <w:rsid w:val="00134878"/>
    <w:rsid w:val="001356F1"/>
    <w:rsid w:val="00140839"/>
    <w:rsid w:val="00142FD6"/>
    <w:rsid w:val="0014766A"/>
    <w:rsid w:val="00162D4A"/>
    <w:rsid w:val="00163580"/>
    <w:rsid w:val="0016656A"/>
    <w:rsid w:val="0016664C"/>
    <w:rsid w:val="00173985"/>
    <w:rsid w:val="00174283"/>
    <w:rsid w:val="00175C1F"/>
    <w:rsid w:val="00181A79"/>
    <w:rsid w:val="00182153"/>
    <w:rsid w:val="00185438"/>
    <w:rsid w:val="00185F44"/>
    <w:rsid w:val="001860B9"/>
    <w:rsid w:val="00191D71"/>
    <w:rsid w:val="00194922"/>
    <w:rsid w:val="001A3A6F"/>
    <w:rsid w:val="001B4194"/>
    <w:rsid w:val="001B5E3B"/>
    <w:rsid w:val="001B6772"/>
    <w:rsid w:val="001B6C87"/>
    <w:rsid w:val="001C0483"/>
    <w:rsid w:val="001C147E"/>
    <w:rsid w:val="001C2D5F"/>
    <w:rsid w:val="001C4B1B"/>
    <w:rsid w:val="001C7A01"/>
    <w:rsid w:val="001D113E"/>
    <w:rsid w:val="001D586F"/>
    <w:rsid w:val="001E1870"/>
    <w:rsid w:val="001E770C"/>
    <w:rsid w:val="002004EC"/>
    <w:rsid w:val="0020276F"/>
    <w:rsid w:val="002036C5"/>
    <w:rsid w:val="00203A78"/>
    <w:rsid w:val="00204116"/>
    <w:rsid w:val="002069F5"/>
    <w:rsid w:val="002178F4"/>
    <w:rsid w:val="00217B8A"/>
    <w:rsid w:val="002241F3"/>
    <w:rsid w:val="00224796"/>
    <w:rsid w:val="00225FE9"/>
    <w:rsid w:val="00231ED1"/>
    <w:rsid w:val="00236370"/>
    <w:rsid w:val="00237BDC"/>
    <w:rsid w:val="00245FEB"/>
    <w:rsid w:val="002501E2"/>
    <w:rsid w:val="00265792"/>
    <w:rsid w:val="0026787D"/>
    <w:rsid w:val="00267DA0"/>
    <w:rsid w:val="002734CB"/>
    <w:rsid w:val="00275FFB"/>
    <w:rsid w:val="0027646A"/>
    <w:rsid w:val="00277BF0"/>
    <w:rsid w:val="00285FF6"/>
    <w:rsid w:val="002908E3"/>
    <w:rsid w:val="002A7ACF"/>
    <w:rsid w:val="002B5156"/>
    <w:rsid w:val="002B59DC"/>
    <w:rsid w:val="002C1753"/>
    <w:rsid w:val="002D1E0C"/>
    <w:rsid w:val="002D3544"/>
    <w:rsid w:val="002D3658"/>
    <w:rsid w:val="002D392D"/>
    <w:rsid w:val="002D72DC"/>
    <w:rsid w:val="002F030A"/>
    <w:rsid w:val="002F38A5"/>
    <w:rsid w:val="0030058C"/>
    <w:rsid w:val="003017A1"/>
    <w:rsid w:val="00303BF4"/>
    <w:rsid w:val="00306286"/>
    <w:rsid w:val="00307F9A"/>
    <w:rsid w:val="00314199"/>
    <w:rsid w:val="0033701A"/>
    <w:rsid w:val="00344E42"/>
    <w:rsid w:val="003556DB"/>
    <w:rsid w:val="00362B7B"/>
    <w:rsid w:val="0036675A"/>
    <w:rsid w:val="00370141"/>
    <w:rsid w:val="00393F9D"/>
    <w:rsid w:val="003950A0"/>
    <w:rsid w:val="003A20CF"/>
    <w:rsid w:val="003A7310"/>
    <w:rsid w:val="003B4575"/>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E5C43"/>
    <w:rsid w:val="004F4209"/>
    <w:rsid w:val="00506097"/>
    <w:rsid w:val="00507CB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7447"/>
    <w:rsid w:val="00600C7C"/>
    <w:rsid w:val="006018BB"/>
    <w:rsid w:val="00614C19"/>
    <w:rsid w:val="006153F3"/>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4504"/>
    <w:rsid w:val="006A35EC"/>
    <w:rsid w:val="006A5C1B"/>
    <w:rsid w:val="006B53E5"/>
    <w:rsid w:val="006B5A60"/>
    <w:rsid w:val="006B7DFA"/>
    <w:rsid w:val="006C1662"/>
    <w:rsid w:val="006C50A0"/>
    <w:rsid w:val="006C6588"/>
    <w:rsid w:val="006C6B39"/>
    <w:rsid w:val="006E3049"/>
    <w:rsid w:val="006E374E"/>
    <w:rsid w:val="006F0C66"/>
    <w:rsid w:val="006F359E"/>
    <w:rsid w:val="0070699C"/>
    <w:rsid w:val="00706AE9"/>
    <w:rsid w:val="00722794"/>
    <w:rsid w:val="00726CF4"/>
    <w:rsid w:val="007271F4"/>
    <w:rsid w:val="007335D5"/>
    <w:rsid w:val="00735FB7"/>
    <w:rsid w:val="007415A2"/>
    <w:rsid w:val="0074728C"/>
    <w:rsid w:val="00781E56"/>
    <w:rsid w:val="00790A6E"/>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11DFB"/>
    <w:rsid w:val="00815B23"/>
    <w:rsid w:val="00817C0C"/>
    <w:rsid w:val="00824CB0"/>
    <w:rsid w:val="00832CC3"/>
    <w:rsid w:val="00841D9E"/>
    <w:rsid w:val="008542CD"/>
    <w:rsid w:val="008766CF"/>
    <w:rsid w:val="00877A45"/>
    <w:rsid w:val="008947B8"/>
    <w:rsid w:val="008A0367"/>
    <w:rsid w:val="008B7F12"/>
    <w:rsid w:val="008C479E"/>
    <w:rsid w:val="008F3011"/>
    <w:rsid w:val="00910F3B"/>
    <w:rsid w:val="00916D37"/>
    <w:rsid w:val="00917173"/>
    <w:rsid w:val="009177F5"/>
    <w:rsid w:val="00920F3A"/>
    <w:rsid w:val="00924F05"/>
    <w:rsid w:val="00933418"/>
    <w:rsid w:val="0093666D"/>
    <w:rsid w:val="00951825"/>
    <w:rsid w:val="00953728"/>
    <w:rsid w:val="00963FB9"/>
    <w:rsid w:val="0097559D"/>
    <w:rsid w:val="00983F08"/>
    <w:rsid w:val="009A1E26"/>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6518"/>
    <w:rsid w:val="00A67769"/>
    <w:rsid w:val="00A7361C"/>
    <w:rsid w:val="00A73A7D"/>
    <w:rsid w:val="00A85737"/>
    <w:rsid w:val="00A877BD"/>
    <w:rsid w:val="00A87E54"/>
    <w:rsid w:val="00A902C1"/>
    <w:rsid w:val="00AA77AB"/>
    <w:rsid w:val="00AB0DF3"/>
    <w:rsid w:val="00AB1AE5"/>
    <w:rsid w:val="00AB301F"/>
    <w:rsid w:val="00AB7A80"/>
    <w:rsid w:val="00AD3D71"/>
    <w:rsid w:val="00AD43CC"/>
    <w:rsid w:val="00AF0F2D"/>
    <w:rsid w:val="00AF2C8F"/>
    <w:rsid w:val="00AF2EAF"/>
    <w:rsid w:val="00B03DC9"/>
    <w:rsid w:val="00B26E30"/>
    <w:rsid w:val="00B34D73"/>
    <w:rsid w:val="00B45ED1"/>
    <w:rsid w:val="00B51703"/>
    <w:rsid w:val="00B65025"/>
    <w:rsid w:val="00B671BF"/>
    <w:rsid w:val="00B77636"/>
    <w:rsid w:val="00B80DEA"/>
    <w:rsid w:val="00B841AB"/>
    <w:rsid w:val="00B96917"/>
    <w:rsid w:val="00B97614"/>
    <w:rsid w:val="00BA26BC"/>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34200"/>
    <w:rsid w:val="00C52EA6"/>
    <w:rsid w:val="00C56D6C"/>
    <w:rsid w:val="00C57A67"/>
    <w:rsid w:val="00C6034A"/>
    <w:rsid w:val="00C614EA"/>
    <w:rsid w:val="00C62C17"/>
    <w:rsid w:val="00C7220A"/>
    <w:rsid w:val="00C77541"/>
    <w:rsid w:val="00C84847"/>
    <w:rsid w:val="00C93E8C"/>
    <w:rsid w:val="00CA1937"/>
    <w:rsid w:val="00CD0AD1"/>
    <w:rsid w:val="00CD525F"/>
    <w:rsid w:val="00CD63D6"/>
    <w:rsid w:val="00CD66EA"/>
    <w:rsid w:val="00CF03B8"/>
    <w:rsid w:val="00CF2784"/>
    <w:rsid w:val="00CF6A72"/>
    <w:rsid w:val="00CF6CE6"/>
    <w:rsid w:val="00D06C9C"/>
    <w:rsid w:val="00D17B23"/>
    <w:rsid w:val="00D22047"/>
    <w:rsid w:val="00D33863"/>
    <w:rsid w:val="00D34073"/>
    <w:rsid w:val="00D34625"/>
    <w:rsid w:val="00D42014"/>
    <w:rsid w:val="00D572E8"/>
    <w:rsid w:val="00D57B36"/>
    <w:rsid w:val="00D7011E"/>
    <w:rsid w:val="00D7198C"/>
    <w:rsid w:val="00D72227"/>
    <w:rsid w:val="00D90302"/>
    <w:rsid w:val="00D97047"/>
    <w:rsid w:val="00DA2004"/>
    <w:rsid w:val="00DA5FE2"/>
    <w:rsid w:val="00DA69B9"/>
    <w:rsid w:val="00DB009A"/>
    <w:rsid w:val="00DB20A5"/>
    <w:rsid w:val="00DB63E7"/>
    <w:rsid w:val="00DB7E70"/>
    <w:rsid w:val="00DC25B7"/>
    <w:rsid w:val="00DC7A7E"/>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415C6"/>
    <w:rsid w:val="00E53D05"/>
    <w:rsid w:val="00E62823"/>
    <w:rsid w:val="00E67805"/>
    <w:rsid w:val="00E82F42"/>
    <w:rsid w:val="00E94C68"/>
    <w:rsid w:val="00EB10E1"/>
    <w:rsid w:val="00EB7ACD"/>
    <w:rsid w:val="00EC0600"/>
    <w:rsid w:val="00EC2705"/>
    <w:rsid w:val="00EE0ADA"/>
    <w:rsid w:val="00EE130A"/>
    <w:rsid w:val="00EE3A06"/>
    <w:rsid w:val="00EE489A"/>
    <w:rsid w:val="00F028E3"/>
    <w:rsid w:val="00F05AE7"/>
    <w:rsid w:val="00F10880"/>
    <w:rsid w:val="00F1249F"/>
    <w:rsid w:val="00F13F45"/>
    <w:rsid w:val="00F240F5"/>
    <w:rsid w:val="00F3589A"/>
    <w:rsid w:val="00F425D9"/>
    <w:rsid w:val="00F431F3"/>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gis.otg.gobierno.pr/"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OGP-Directorio%20de%20Agencia/OGP-000-Directorio%20de%20Agencia.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124</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9D253-3300-4DD7-B704-ACA700E5C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B6701-0FC5-46A6-B73F-49ABFD9A1B0F}">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57572359-BB68-462A-BE7C-A294BAC05A31}">
  <ds:schemaRefs>
    <ds:schemaRef ds:uri="http://schemas.microsoft.com/sharepoint/v3/contenttype/forms"/>
  </ds:schemaRefs>
</ds:datastoreItem>
</file>

<file path=customXml/itemProps4.xml><?xml version="1.0" encoding="utf-8"?>
<ds:datastoreItem xmlns:ds="http://schemas.openxmlformats.org/officeDocument/2006/customXml" ds:itemID="{E7E06C40-9109-4EAD-BBBA-4C014D84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Información General de la OGP</vt:lpstr>
    </vt:vector>
  </TitlesOfParts>
  <Company>Hewlett-Packard Company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OGP</dc:title>
  <dc:subject>Información General</dc:subject>
  <dc:creator>3-1-1 Tu Línea de Servicios de Gobierno</dc:creator>
  <cp:keywords>OGP</cp:keywords>
  <cp:lastModifiedBy>respondadmin</cp:lastModifiedBy>
  <cp:revision>6</cp:revision>
  <cp:lastPrinted>2012-09-17T22:19:00Z</cp:lastPrinted>
  <dcterms:created xsi:type="dcterms:W3CDTF">2012-09-19T13:07:00Z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