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E72F3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E72F3B" w:rsidRDefault="0049566C" w:rsidP="00E72F3B">
            <w:pPr>
              <w:pStyle w:val="NormalWeb"/>
              <w:spacing w:before="120" w:beforeAutospacing="0" w:after="120" w:afterAutospacing="0"/>
              <w:jc w:val="both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bookmarkStart w:id="0" w:name="_GoBack"/>
            <w:bookmarkEnd w:id="0"/>
            <w:r w:rsidRPr="00E72F3B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C099A54" wp14:editId="4772899E">
                  <wp:extent cx="267335" cy="276225"/>
                  <wp:effectExtent l="19050" t="0" r="0" b="0"/>
                  <wp:docPr id="45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E72F3B" w:rsidRDefault="0049566C" w:rsidP="00E72F3B">
            <w:pPr>
              <w:spacing w:before="120" w:after="12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E72F3B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E72F3B" w:rsidRDefault="0049566C" w:rsidP="00E72F3B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</w:pPr>
      <w:r w:rsidRPr="00E72F3B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La Oficina de Servicios con Antelación al Juicio evalúa a los imputados de delitos que conlleven fianza y somete al juez la información verificable sobre los antecedentes penales, perfil sociológico y socio-económico del imputado.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953CE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E72F3B" w:rsidRDefault="0049566C" w:rsidP="00E72F3B">
            <w:pPr>
              <w:pStyle w:val="NormalWeb"/>
              <w:spacing w:before="120" w:beforeAutospacing="0" w:after="120" w:afterAutospacing="0"/>
              <w:jc w:val="both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r w:rsidRPr="00E72F3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0164B0B" wp14:editId="424993E7">
                  <wp:extent cx="276225" cy="276225"/>
                  <wp:effectExtent l="19050" t="0" r="9525" b="0"/>
                  <wp:docPr id="451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E72F3B" w:rsidRDefault="0049566C" w:rsidP="00E72F3B">
            <w:pPr>
              <w:spacing w:before="120" w:after="12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E72F3B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E72F3B" w:rsidRDefault="0059273D" w:rsidP="00E72F3B">
      <w:pPr>
        <w:shd w:val="clear" w:color="auto" w:fill="FFFFFF"/>
        <w:spacing w:before="120" w:after="120" w:line="240" w:lineRule="auto"/>
        <w:jc w:val="both"/>
        <w:rPr>
          <w:rFonts w:cs="Arial"/>
          <w:color w:val="000000"/>
          <w:lang w:val="es-PR"/>
        </w:rPr>
      </w:pPr>
      <w:hyperlink r:id="rId14" w:history="1">
        <w:r w:rsidR="0049566C" w:rsidRPr="00E72F3B">
          <w:rPr>
            <w:rStyle w:val="Hyperlink"/>
            <w:rFonts w:cs="Arial"/>
            <w:lang w:val="es-PR"/>
          </w:rPr>
          <w:t xml:space="preserve">Directorio de </w:t>
        </w:r>
        <w:r w:rsidR="0049566C" w:rsidRPr="00E72F3B">
          <w:rPr>
            <w:rStyle w:val="Hyperlink"/>
            <w:rFonts w:cs="Arial"/>
            <w:noProof/>
            <w:lang w:val="es-PR"/>
          </w:rPr>
          <w:t>OSAJ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E72F3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E72F3B" w:rsidRDefault="0049566C" w:rsidP="00E72F3B">
            <w:pPr>
              <w:pStyle w:val="NormalWeb"/>
              <w:spacing w:before="120" w:beforeAutospacing="0" w:after="120" w:afterAutospacing="0"/>
              <w:jc w:val="both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r w:rsidRPr="00E72F3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BBBD385" wp14:editId="0FAE5D8D">
                  <wp:extent cx="276225" cy="276225"/>
                  <wp:effectExtent l="19050" t="0" r="9525" b="0"/>
                  <wp:docPr id="452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F3B"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E72F3B" w:rsidRDefault="0049566C" w:rsidP="00E72F3B">
            <w:pPr>
              <w:spacing w:before="120" w:after="12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E72F3B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Pr="00E72F3B" w:rsidRDefault="0049566C" w:rsidP="00E72F3B">
      <w:pPr>
        <w:spacing w:before="120" w:after="120" w:line="240" w:lineRule="auto"/>
        <w:jc w:val="both"/>
        <w:rPr>
          <w:rFonts w:eastAsia="Times New Roman" w:cs="Arial"/>
          <w:color w:val="000000"/>
          <w:lang w:val="es-PR"/>
        </w:rPr>
      </w:pPr>
      <w:r w:rsidRPr="00E72F3B"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49566C" w:rsidRPr="00E72F3B" w:rsidRDefault="0049566C" w:rsidP="00E72F3B">
      <w:pPr>
        <w:spacing w:before="120" w:after="120" w:line="240" w:lineRule="auto"/>
        <w:jc w:val="both"/>
        <w:rPr>
          <w:rFonts w:eastAsia="Times New Roman" w:cs="Arial"/>
          <w:color w:val="000000"/>
          <w:lang w:val="es-PR"/>
        </w:rPr>
        <w:sectPr w:rsidR="0049566C" w:rsidRPr="00E72F3B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5E08B5" w:rsidRPr="005E08B5" w:rsidRDefault="00433472" w:rsidP="005E08B5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lang w:val="es-PR"/>
        </w:rPr>
      </w:pPr>
      <w:r w:rsidRPr="00E72F3B">
        <w:rPr>
          <w:rFonts w:asciiTheme="minorHAnsi" w:hAnsiTheme="minorHAnsi" w:cs="Arial"/>
          <w:noProof/>
          <w:color w:val="000000"/>
          <w:lang w:val="es-PR"/>
        </w:rPr>
        <w:lastRenderedPageBreak/>
        <w:t xml:space="preserve">Provee una recomendación precisa y confiable para que la magistratura determine la medida de libertad provisional a imponerse. </w:t>
      </w:r>
    </w:p>
    <w:p w:rsidR="005E08B5" w:rsidRPr="005E08B5" w:rsidRDefault="00433472" w:rsidP="005E08B5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lang w:val="es-PR"/>
        </w:rPr>
      </w:pPr>
      <w:r w:rsidRPr="00E72F3B">
        <w:rPr>
          <w:rFonts w:asciiTheme="minorHAnsi" w:hAnsiTheme="minorHAnsi" w:cs="Arial"/>
          <w:noProof/>
          <w:color w:val="000000"/>
          <w:lang w:val="es-PR"/>
        </w:rPr>
        <w:t>Establece un sistema de seguimiento confiable que garantiza la seguridad de la comunidad y la comparecencia del imputado de delito, durante el proceso judicial mientras se le otorgue la libertad provisional.</w:t>
      </w:r>
    </w:p>
    <w:p w:rsidR="0049566C" w:rsidRPr="00433472" w:rsidRDefault="00433472" w:rsidP="005E08B5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lang w:val="es-PR"/>
        </w:rPr>
      </w:pPr>
      <w:r w:rsidRPr="00E72F3B">
        <w:rPr>
          <w:rFonts w:asciiTheme="minorHAnsi" w:hAnsiTheme="minorHAnsi" w:cs="Arial"/>
          <w:noProof/>
          <w:color w:val="000000"/>
          <w:lang w:val="es-PR"/>
        </w:rPr>
        <w:t>Establece un plan de condiciones dirigido a contribuir a la rehabilitación del cliente</w:t>
      </w:r>
      <w:r>
        <w:rPr>
          <w:rFonts w:asciiTheme="minorHAnsi" w:hAnsiTheme="minorHAnsi" w:cs="Arial"/>
          <w:noProof/>
          <w:color w:val="000000"/>
          <w:lang w:val="es-PR"/>
        </w:rPr>
        <w:t>.</w:t>
      </w:r>
    </w:p>
    <w:sectPr w:rsidR="0049566C" w:rsidRPr="00433472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F3" w:rsidRDefault="00CF46F3" w:rsidP="005501A9">
      <w:pPr>
        <w:spacing w:after="0" w:line="240" w:lineRule="auto"/>
      </w:pPr>
      <w:r>
        <w:separator/>
      </w:r>
    </w:p>
  </w:endnote>
  <w:endnote w:type="continuationSeparator" w:id="0">
    <w:p w:rsidR="00CF46F3" w:rsidRDefault="00CF46F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ED" w:rsidRDefault="00953C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2122112" behindDoc="0" locked="0" layoutInCell="1" allowOverlap="1" wp14:anchorId="23C51355" wp14:editId="5A836717">
                <wp:simplePos x="0" y="0"/>
                <wp:positionH relativeFrom="column">
                  <wp:posOffset>-455295</wp:posOffset>
                </wp:positionH>
                <wp:positionV relativeFrom="paragraph">
                  <wp:posOffset>113030</wp:posOffset>
                </wp:positionV>
                <wp:extent cx="333375" cy="259715"/>
                <wp:effectExtent l="0" t="0" r="9525" b="6985"/>
                <wp:wrapSquare wrapText="bothSides"/>
                <wp:docPr id="45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2124160" behindDoc="0" locked="0" layoutInCell="1" allowOverlap="1" wp14:anchorId="7E16B492" wp14:editId="481A2F5D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630" name="AutoShape 2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28" o:spid="_x0000_s1026" type="#_x0000_t32" style="position:absolute;margin-left:-35.9pt;margin-top:3.1pt;width:471.35pt;height:.0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pRycsC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953CED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953CED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ED" w:rsidRDefault="00953CE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F3" w:rsidRDefault="00CF46F3" w:rsidP="005501A9">
      <w:pPr>
        <w:spacing w:after="0" w:line="240" w:lineRule="auto"/>
      </w:pPr>
      <w:r>
        <w:separator/>
      </w:r>
    </w:p>
  </w:footnote>
  <w:footnote w:type="continuationSeparator" w:id="0">
    <w:p w:rsidR="00CF46F3" w:rsidRDefault="00CF46F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ED" w:rsidRDefault="00953C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2123136" behindDoc="0" locked="0" layoutInCell="1" allowOverlap="1" wp14:anchorId="2C5B2E68" wp14:editId="4110276B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631" name="Text Box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OSAJ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7" o:spid="_x0000_s1138" type="#_x0000_t202" style="position:absolute;margin-left:389.5pt;margin-top:6.65pt;width:82.7pt;height:27.5pt;z-index:252123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OSAJ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Oficina de Servicios con Antelación al Juicio</w:t>
    </w:r>
    <w:r>
      <w:rPr>
        <w:sz w:val="32"/>
        <w:szCs w:val="32"/>
        <w:lang w:val="es-PR"/>
      </w:rPr>
      <w:tab/>
    </w:r>
    <w:r w:rsidR="0015608F">
      <w:rPr>
        <w:sz w:val="32"/>
        <w:szCs w:val="32"/>
        <w:lang w:val="es-PR"/>
      </w:rPr>
      <w:t>(OSAJ)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ED" w:rsidRDefault="00953CE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5A5E64"/>
    <w:multiLevelType w:val="hybridMultilevel"/>
    <w:tmpl w:val="042C44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9"/>
  </w:num>
  <w:num w:numId="5">
    <w:abstractNumId w:val="15"/>
  </w:num>
  <w:num w:numId="6">
    <w:abstractNumId w:val="11"/>
  </w:num>
  <w:num w:numId="7">
    <w:abstractNumId w:val="19"/>
  </w:num>
  <w:num w:numId="8">
    <w:abstractNumId w:val="9"/>
  </w:num>
  <w:num w:numId="9">
    <w:abstractNumId w:val="22"/>
  </w:num>
  <w:num w:numId="10">
    <w:abstractNumId w:val="8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12"/>
  </w:num>
  <w:num w:numId="20">
    <w:abstractNumId w:val="20"/>
  </w:num>
  <w:num w:numId="21">
    <w:abstractNumId w:val="10"/>
  </w:num>
  <w:num w:numId="22">
    <w:abstractNumId w:val="2"/>
  </w:num>
  <w:num w:numId="23">
    <w:abstractNumId w:val="26"/>
  </w:num>
  <w:num w:numId="24">
    <w:abstractNumId w:val="27"/>
  </w:num>
  <w:num w:numId="25">
    <w:abstractNumId w:val="7"/>
  </w:num>
  <w:num w:numId="26">
    <w:abstractNumId w:val="0"/>
  </w:num>
  <w:num w:numId="27">
    <w:abstractNumId w:val="17"/>
  </w:num>
  <w:num w:numId="28">
    <w:abstractNumId w:val="14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DAB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5608F"/>
    <w:rsid w:val="00162D4A"/>
    <w:rsid w:val="00163580"/>
    <w:rsid w:val="0016656A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113E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5498A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3472"/>
    <w:rsid w:val="00434497"/>
    <w:rsid w:val="004372B7"/>
    <w:rsid w:val="00444FCD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06DB"/>
    <w:rsid w:val="004F4209"/>
    <w:rsid w:val="00506097"/>
    <w:rsid w:val="00507CB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9273D"/>
    <w:rsid w:val="005B17FD"/>
    <w:rsid w:val="005B2388"/>
    <w:rsid w:val="005C1B0C"/>
    <w:rsid w:val="005C1D13"/>
    <w:rsid w:val="005C2352"/>
    <w:rsid w:val="005C33B7"/>
    <w:rsid w:val="005D2EE9"/>
    <w:rsid w:val="005D6FC4"/>
    <w:rsid w:val="005D72CC"/>
    <w:rsid w:val="005E08B5"/>
    <w:rsid w:val="005F07EB"/>
    <w:rsid w:val="005F61FB"/>
    <w:rsid w:val="005F7447"/>
    <w:rsid w:val="00600C7C"/>
    <w:rsid w:val="00614C19"/>
    <w:rsid w:val="006153F3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3E5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99C"/>
    <w:rsid w:val="00706AE9"/>
    <w:rsid w:val="00722794"/>
    <w:rsid w:val="00726CF4"/>
    <w:rsid w:val="007271F4"/>
    <w:rsid w:val="00735FB7"/>
    <w:rsid w:val="007415A2"/>
    <w:rsid w:val="007430AA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1DFB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154D"/>
    <w:rsid w:val="008B7F12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53CED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57062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C8F"/>
    <w:rsid w:val="00AF2EAF"/>
    <w:rsid w:val="00B03DC9"/>
    <w:rsid w:val="00B233C1"/>
    <w:rsid w:val="00B26E30"/>
    <w:rsid w:val="00B34D73"/>
    <w:rsid w:val="00B45ED1"/>
    <w:rsid w:val="00B51703"/>
    <w:rsid w:val="00B65025"/>
    <w:rsid w:val="00B671BF"/>
    <w:rsid w:val="00B77636"/>
    <w:rsid w:val="00B80DEA"/>
    <w:rsid w:val="00B841AB"/>
    <w:rsid w:val="00B96917"/>
    <w:rsid w:val="00B97614"/>
    <w:rsid w:val="00BA26BC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93E8C"/>
    <w:rsid w:val="00CA1937"/>
    <w:rsid w:val="00CC1CA2"/>
    <w:rsid w:val="00CD0AD1"/>
    <w:rsid w:val="00CD525F"/>
    <w:rsid w:val="00CD63D6"/>
    <w:rsid w:val="00CD66EA"/>
    <w:rsid w:val="00CF03B8"/>
    <w:rsid w:val="00CF2784"/>
    <w:rsid w:val="00CF46F3"/>
    <w:rsid w:val="00CF6A72"/>
    <w:rsid w:val="00CF6CE6"/>
    <w:rsid w:val="00D06C9C"/>
    <w:rsid w:val="00D17B23"/>
    <w:rsid w:val="00D22047"/>
    <w:rsid w:val="00D33863"/>
    <w:rsid w:val="00D34073"/>
    <w:rsid w:val="00D34625"/>
    <w:rsid w:val="00D42014"/>
    <w:rsid w:val="00D52D6E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DF36E6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415C6"/>
    <w:rsid w:val="00E53D05"/>
    <w:rsid w:val="00E62823"/>
    <w:rsid w:val="00E67805"/>
    <w:rsid w:val="00E72F3B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25D9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OSAJ-Directorio%20de%20Agencia/OSAJ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137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9D1F9-FE94-431B-B065-DD240E108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31E88-88A7-44EF-8749-F4B578ADE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14F1A-38BF-4E60-9DE3-26C7B5E2F10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EF7D8493-B289-4BFF-BC84-BE2238DC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Oficina de Servicios con Antelación al Juicio</vt:lpstr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OSAJ</dc:title>
  <dc:subject>Información General</dc:subject>
  <dc:creator>3-1-1 Tu Línea de Servicios de Gobierno</dc:creator>
  <cp:keywords>OSAJ</cp:keywords>
  <cp:lastModifiedBy>respondadmin</cp:lastModifiedBy>
  <cp:revision>6</cp:revision>
  <cp:lastPrinted>2012-08-20T16:17:00Z</cp:lastPrinted>
  <dcterms:created xsi:type="dcterms:W3CDTF">2012-08-31T18:27:00Z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