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B8CB912" wp14:editId="70A4D528">
                  <wp:extent cx="267335" cy="276225"/>
                  <wp:effectExtent l="19050" t="0" r="0" b="0"/>
                  <wp:docPr id="23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308A6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32127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El Consejo de Educación de Puerto Rico </w:t>
      </w:r>
      <w:r w:rsidR="0026738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(CEPR) </w:t>
      </w:r>
      <w:r w:rsidRPr="0032127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tiene la responsabilidad de administrar los fondos estatales de asistencia económica para estudiantes de instituciones postsecundarias en Puerto Rico. </w:t>
      </w:r>
    </w:p>
    <w:p w:rsidR="0049566C" w:rsidRPr="0032127B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2127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También es responsable de fomentar la educación superior en Puerto Rico mediante la concesión de licencias a las instituciones de educación superior, la administración y distribución de recursos estatales y federales para apoyo a los estudiantes postsecundarios y la evaluación del sistema de educación superior.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A32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23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5B2F27" w:rsidRDefault="009A37C9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5B2F27">
          <w:rPr>
            <w:rStyle w:val="Hyperlink"/>
            <w:rFonts w:cs="Arial"/>
            <w:lang w:val="es-PR"/>
          </w:rPr>
          <w:t xml:space="preserve">Directorio de </w:t>
        </w:r>
        <w:r w:rsidR="0049566C" w:rsidRPr="005B2F27">
          <w:rPr>
            <w:rStyle w:val="Hyperlink"/>
            <w:rFonts w:cs="Arial"/>
            <w:noProof/>
            <w:lang w:val="es-PR"/>
          </w:rPr>
          <w:t>CEPR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09FB94" wp14:editId="340539D4">
                  <wp:extent cx="276225" cy="276225"/>
                  <wp:effectExtent l="19050" t="0" r="9525" b="0"/>
                  <wp:docPr id="23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5B2F27" w:rsidRDefault="0049566C" w:rsidP="00E308A6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5B2F27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Pr="005B2F27" w:rsidRDefault="0049566C" w:rsidP="00E308A6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RPr="005B2F27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88137D" w:rsidRPr="0088137D" w:rsidRDefault="0088137D" w:rsidP="0088137D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88137D">
        <w:rPr>
          <w:rFonts w:eastAsia="Times New Roman" w:cs="Arial"/>
          <w:color w:val="000000"/>
          <w:lang w:val="es-PR"/>
        </w:rPr>
        <w:lastRenderedPageBreak/>
        <w:t>Administrar programas de asistencia económica que apoyen las oportunidades de los estudiantes de escasos recursos económicos de acceder y completar una educación postsecundaria.</w:t>
      </w:r>
    </w:p>
    <w:p w:rsidR="0088137D" w:rsidRPr="0088137D" w:rsidRDefault="0088137D" w:rsidP="0088137D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88137D">
        <w:rPr>
          <w:rFonts w:eastAsia="Times New Roman" w:cs="Arial"/>
          <w:color w:val="000000"/>
          <w:lang w:val="es-PR"/>
        </w:rPr>
        <w:t>Custodiar y manejar fondos estatales, federales y de otras fuentes para cumplir dichos propósitos, facilitando la efectividad y eficiencia de los procesos de adjudicación y uso de fondos según las leyes y reglamentos que los rigen.</w:t>
      </w:r>
    </w:p>
    <w:p w:rsidR="00E308A6" w:rsidRPr="0088137D" w:rsidRDefault="00E308A6" w:rsidP="0088137D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E308A6" w:rsidRPr="0088137D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22" w:rsidRDefault="006D1122" w:rsidP="005501A9">
      <w:pPr>
        <w:spacing w:after="0" w:line="240" w:lineRule="auto"/>
      </w:pPr>
      <w:r>
        <w:separator/>
      </w:r>
    </w:p>
  </w:endnote>
  <w:endnote w:type="continuationSeparator" w:id="0">
    <w:p w:rsidR="006D1122" w:rsidRDefault="006D112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6A" w:rsidRDefault="005A3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900928" behindDoc="0" locked="0" layoutInCell="1" allowOverlap="1" wp14:anchorId="7BAE113D" wp14:editId="5FD852E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3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902976" behindDoc="0" locked="0" layoutInCell="1" allowOverlap="1" wp14:anchorId="08F28BBF" wp14:editId="5BE7C799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38" name="AutoShape 1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0" o:spid="_x0000_s1026" type="#_x0000_t32" style="position:absolute;margin-left:-35.9pt;margin-top:3.1pt;width:471.35pt;height: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eoJAIAAEE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9J53qC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5A326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5A326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6A" w:rsidRDefault="005A326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22" w:rsidRDefault="006D1122" w:rsidP="005501A9">
      <w:pPr>
        <w:spacing w:after="0" w:line="240" w:lineRule="auto"/>
      </w:pPr>
      <w:r>
        <w:separator/>
      </w:r>
    </w:p>
  </w:footnote>
  <w:footnote w:type="continuationSeparator" w:id="0">
    <w:p w:rsidR="006D1122" w:rsidRDefault="006D112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6A" w:rsidRDefault="005A3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901952" behindDoc="0" locked="0" layoutInCell="1" allowOverlap="1" wp14:anchorId="31D379B8" wp14:editId="18F149E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3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CEPR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26" type="#_x0000_t202" style="position:absolute;margin-left:389.5pt;margin-top:6.65pt;width:82.7pt;height:27.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3fmdDC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CEPR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Consejo de Educación de Puerto Rico</w:t>
    </w:r>
    <w:r w:rsidR="0032127B">
      <w:rPr>
        <w:noProof/>
        <w:sz w:val="32"/>
        <w:szCs w:val="32"/>
        <w:lang w:val="es-PR"/>
      </w:rPr>
      <w:t xml:space="preserve"> (CEPR)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6A" w:rsidRDefault="005A32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BC4877"/>
    <w:multiLevelType w:val="hybridMultilevel"/>
    <w:tmpl w:val="7284BE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100D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563"/>
    <w:rsid w:val="000A6877"/>
    <w:rsid w:val="000B0C5A"/>
    <w:rsid w:val="000B2831"/>
    <w:rsid w:val="000B5CD8"/>
    <w:rsid w:val="000B69D3"/>
    <w:rsid w:val="000B7E28"/>
    <w:rsid w:val="000C5283"/>
    <w:rsid w:val="000D60F9"/>
    <w:rsid w:val="000E4017"/>
    <w:rsid w:val="000F40B6"/>
    <w:rsid w:val="000F7989"/>
    <w:rsid w:val="00101F32"/>
    <w:rsid w:val="00110E6B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383"/>
    <w:rsid w:val="0026787D"/>
    <w:rsid w:val="00267DA0"/>
    <w:rsid w:val="002734CB"/>
    <w:rsid w:val="0027646A"/>
    <w:rsid w:val="00277BF0"/>
    <w:rsid w:val="00285FF6"/>
    <w:rsid w:val="002908E3"/>
    <w:rsid w:val="0029134B"/>
    <w:rsid w:val="002A5C84"/>
    <w:rsid w:val="002A7ACF"/>
    <w:rsid w:val="002B4034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127B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2567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A63A4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37B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A326A"/>
    <w:rsid w:val="005B17FD"/>
    <w:rsid w:val="005B2388"/>
    <w:rsid w:val="005B2F27"/>
    <w:rsid w:val="005C0626"/>
    <w:rsid w:val="005C1B0C"/>
    <w:rsid w:val="005C1D13"/>
    <w:rsid w:val="005C33B7"/>
    <w:rsid w:val="005D10A0"/>
    <w:rsid w:val="005D2EE9"/>
    <w:rsid w:val="005D6FC4"/>
    <w:rsid w:val="005D72CC"/>
    <w:rsid w:val="005F07EB"/>
    <w:rsid w:val="005F5113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D1122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2278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4C7"/>
    <w:rsid w:val="00815B23"/>
    <w:rsid w:val="00817C0C"/>
    <w:rsid w:val="00824CB0"/>
    <w:rsid w:val="00832CC3"/>
    <w:rsid w:val="00841D9E"/>
    <w:rsid w:val="008542CD"/>
    <w:rsid w:val="008766CF"/>
    <w:rsid w:val="00877A45"/>
    <w:rsid w:val="0088137D"/>
    <w:rsid w:val="008947B8"/>
    <w:rsid w:val="008A0367"/>
    <w:rsid w:val="008B7F12"/>
    <w:rsid w:val="008C479E"/>
    <w:rsid w:val="008D6955"/>
    <w:rsid w:val="008F4CA8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92991"/>
    <w:rsid w:val="009A1E26"/>
    <w:rsid w:val="009A37C9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35128"/>
    <w:rsid w:val="00A5086B"/>
    <w:rsid w:val="00A60B6E"/>
    <w:rsid w:val="00A625BF"/>
    <w:rsid w:val="00A633B9"/>
    <w:rsid w:val="00A6373A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43C7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A6C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33863"/>
    <w:rsid w:val="00D34073"/>
    <w:rsid w:val="00D34625"/>
    <w:rsid w:val="00D42014"/>
    <w:rsid w:val="00D46E2C"/>
    <w:rsid w:val="00D57B36"/>
    <w:rsid w:val="00D7011E"/>
    <w:rsid w:val="00D7198C"/>
    <w:rsid w:val="00D72227"/>
    <w:rsid w:val="00D90302"/>
    <w:rsid w:val="00D96DA1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08A6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864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C2FA7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71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6779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EPR-Directorio%20de%20Agencia/CEPR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157F-8134-4E71-AC1C-EC408B2E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9708F-FD54-4F10-9048-75599EA3E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8A174-6EC6-41E7-8860-5EC7B9EB106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E826F92-3BA4-4FEF-8DF1-3A07703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Consejo de Educación de Puerto Rico</vt:lpstr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CEPR</dc:title>
  <dc:subject>Información General</dc:subject>
  <dc:creator>3-1-1 Tu Línea de Servicios de Gobierno</dc:creator>
  <cp:keywords>CEPR</cp:keywords>
  <cp:lastModifiedBy>respondadmin</cp:lastModifiedBy>
  <cp:revision>6</cp:revision>
  <cp:lastPrinted>2012-07-25T13:16:00Z</cp:lastPrinted>
  <dcterms:created xsi:type="dcterms:W3CDTF">2012-08-31T18:18:00Z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