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30262">
            <w:pPr>
              <w:pStyle w:val="NormalWeb"/>
              <w:spacing w:before="0" w:beforeAutospacing="0" w:after="0" w:afterAutospacing="0"/>
              <w:rPr>
                <w:rFonts w:ascii="Verdana" w:hAnsi="Verdana" w:cs="Arial"/>
                <w:color w:val="000000"/>
                <w:sz w:val="20"/>
                <w:szCs w:val="20"/>
                <w:lang w:val="es-PR"/>
              </w:rPr>
            </w:pPr>
            <w:bookmarkStart w:id="0" w:name="_GoBack"/>
            <w:bookmarkEnd w:id="0"/>
            <w:r>
              <w:rPr>
                <w:b/>
                <w:noProof/>
                <w:sz w:val="28"/>
                <w:szCs w:val="28"/>
              </w:rPr>
              <w:drawing>
                <wp:inline distT="0" distB="0" distL="0" distR="0" wp14:anchorId="34068C35" wp14:editId="7A3DAC1C">
                  <wp:extent cx="267335" cy="276225"/>
                  <wp:effectExtent l="19050" t="0" r="0" b="0"/>
                  <wp:docPr id="258"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130262">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9566C" w:rsidRPr="00130262" w:rsidRDefault="0049566C" w:rsidP="00130262">
      <w:pPr>
        <w:pStyle w:val="NormalWeb"/>
        <w:spacing w:before="120" w:beforeAutospacing="0" w:after="120" w:afterAutospacing="0"/>
        <w:rPr>
          <w:rFonts w:asciiTheme="minorHAnsi" w:hAnsiTheme="minorHAnsi" w:cs="Arial"/>
          <w:color w:val="000000"/>
          <w:sz w:val="22"/>
          <w:szCs w:val="22"/>
          <w:lang w:val="es-PR"/>
        </w:rPr>
      </w:pPr>
      <w:r w:rsidRPr="00130262">
        <w:rPr>
          <w:rFonts w:asciiTheme="minorHAnsi" w:hAnsiTheme="minorHAnsi" w:cs="Arial"/>
          <w:noProof/>
          <w:color w:val="000000"/>
          <w:sz w:val="22"/>
          <w:szCs w:val="22"/>
          <w:lang w:val="es-PR"/>
        </w:rPr>
        <w:t>La Orquesta Sinfónica de Puerto Rico</w:t>
      </w:r>
      <w:r w:rsidR="008933EB">
        <w:rPr>
          <w:rFonts w:asciiTheme="minorHAnsi" w:hAnsiTheme="minorHAnsi" w:cs="Arial"/>
          <w:noProof/>
          <w:color w:val="000000"/>
          <w:sz w:val="22"/>
          <w:szCs w:val="22"/>
          <w:lang w:val="es-PR"/>
        </w:rPr>
        <w:t xml:space="preserve"> (COSPR) </w:t>
      </w:r>
      <w:r w:rsidRPr="00130262">
        <w:rPr>
          <w:rFonts w:asciiTheme="minorHAnsi" w:hAnsiTheme="minorHAnsi" w:cs="Arial"/>
          <w:noProof/>
          <w:color w:val="000000"/>
          <w:sz w:val="22"/>
          <w:szCs w:val="22"/>
          <w:lang w:val="es-PR"/>
        </w:rPr>
        <w:t xml:space="preserve"> responde a una necesidad creciente de la sociedad puertorriqueña en todas sus estratas sociales, al percibirse como la primera institución musical permanente para la interpretación de la música sinfónica, tanto puertorriqueña como del repertorio internacional.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E47F7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30262">
            <w:pPr>
              <w:pStyle w:val="NormalWeb"/>
              <w:spacing w:before="0" w:beforeAutospacing="0" w:after="0" w:afterAutospacing="0"/>
              <w:rPr>
                <w:rFonts w:ascii="Verdana" w:hAnsi="Verdana" w:cs="Arial"/>
                <w:color w:val="000000"/>
                <w:sz w:val="20"/>
                <w:szCs w:val="20"/>
                <w:lang w:val="es-PR"/>
              </w:rPr>
            </w:pPr>
            <w:r>
              <w:rPr>
                <w:rFonts w:ascii="Arial" w:hAnsi="Arial" w:cs="Arial"/>
                <w:noProof/>
                <w:sz w:val="20"/>
                <w:szCs w:val="20"/>
              </w:rPr>
              <w:drawing>
                <wp:inline distT="0" distB="0" distL="0" distR="0" wp14:anchorId="452FCDF8" wp14:editId="55FD8CBE">
                  <wp:extent cx="276225" cy="276225"/>
                  <wp:effectExtent l="19050" t="0" r="9525" b="0"/>
                  <wp:docPr id="259"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130262">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49566C" w:rsidRPr="00A25135" w:rsidRDefault="00BD2CF2" w:rsidP="00130262">
      <w:pPr>
        <w:shd w:val="clear" w:color="auto" w:fill="FFFFFF"/>
        <w:spacing w:before="120" w:after="120" w:line="240" w:lineRule="auto"/>
        <w:rPr>
          <w:rFonts w:cs="Arial"/>
          <w:color w:val="000000"/>
          <w:lang w:val="es-PR"/>
        </w:rPr>
      </w:pPr>
      <w:hyperlink r:id="rId14" w:history="1">
        <w:r w:rsidR="0049566C" w:rsidRPr="000B0C5A">
          <w:rPr>
            <w:rStyle w:val="Hyperlink"/>
            <w:rFonts w:cs="Arial"/>
            <w:lang w:val="es-PR"/>
          </w:rPr>
          <w:t xml:space="preserve">Directorio de </w:t>
        </w:r>
        <w:r w:rsidR="0049566C" w:rsidRPr="000B0C5A">
          <w:rPr>
            <w:rStyle w:val="Hyperlink"/>
            <w:rFonts w:cs="Arial"/>
            <w:noProof/>
            <w:lang w:val="es-PR"/>
          </w:rPr>
          <w:t>COSPR</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30262">
            <w:pPr>
              <w:pStyle w:val="NormalWeb"/>
              <w:spacing w:before="0" w:beforeAutospacing="0" w:after="0" w:afterAutospacing="0"/>
              <w:rPr>
                <w:rFonts w:ascii="Verdana" w:hAnsi="Verdana" w:cs="Arial"/>
                <w:color w:val="000000"/>
                <w:sz w:val="20"/>
                <w:szCs w:val="20"/>
                <w:lang w:val="es-PR"/>
              </w:rPr>
            </w:pPr>
            <w:r>
              <w:rPr>
                <w:rFonts w:ascii="Arial" w:hAnsi="Arial" w:cs="Arial"/>
                <w:noProof/>
                <w:sz w:val="20"/>
                <w:szCs w:val="20"/>
              </w:rPr>
              <w:drawing>
                <wp:inline distT="0" distB="0" distL="0" distR="0" wp14:anchorId="0D11EAB7" wp14:editId="036629C1">
                  <wp:extent cx="276225" cy="276225"/>
                  <wp:effectExtent l="19050" t="0" r="9525" b="0"/>
                  <wp:docPr id="260"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130262">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9566C" w:rsidRPr="0075309A" w:rsidRDefault="0049566C" w:rsidP="00130262">
      <w:pPr>
        <w:spacing w:before="120" w:after="120" w:line="240" w:lineRule="auto"/>
        <w:rPr>
          <w:rFonts w:asciiTheme="minorHAnsi" w:eastAsia="Times New Roman" w:hAnsiTheme="minorHAnsi" w:cstheme="minorHAnsi"/>
          <w:color w:val="000000"/>
          <w:lang w:val="es-PR"/>
        </w:rPr>
      </w:pPr>
      <w:r w:rsidRPr="0075309A">
        <w:rPr>
          <w:rFonts w:asciiTheme="minorHAnsi" w:eastAsia="Times New Roman" w:hAnsiTheme="minorHAnsi" w:cstheme="minorHAnsi"/>
          <w:color w:val="000000"/>
          <w:lang w:val="es-PR"/>
        </w:rPr>
        <w:t>Algunos de los servicios ofrecidos por la agencia son los siguientes:</w:t>
      </w:r>
    </w:p>
    <w:p w:rsidR="0049566C" w:rsidRPr="0075309A" w:rsidRDefault="004C2A62" w:rsidP="0075309A">
      <w:pPr>
        <w:pStyle w:val="ListParagraph"/>
        <w:numPr>
          <w:ilvl w:val="0"/>
          <w:numId w:val="30"/>
        </w:numPr>
        <w:spacing w:before="120" w:after="120" w:line="240" w:lineRule="auto"/>
        <w:contextualSpacing w:val="0"/>
        <w:rPr>
          <w:rFonts w:asciiTheme="minorHAnsi" w:eastAsia="Times New Roman" w:hAnsiTheme="minorHAnsi" w:cstheme="minorHAnsi"/>
          <w:color w:val="000000"/>
          <w:lang w:val="es-PR"/>
        </w:rPr>
      </w:pPr>
      <w:r w:rsidRPr="0075309A">
        <w:rPr>
          <w:rFonts w:asciiTheme="minorHAnsi" w:eastAsia="Times New Roman" w:hAnsiTheme="minorHAnsi" w:cstheme="minorHAnsi"/>
          <w:color w:val="000000"/>
          <w:lang w:val="es-PR"/>
        </w:rPr>
        <w:t>Realizar conciertos de temporada, conciertos especiales, conciertos educativos, proyectos interagenciales y estrenos mundiales de obras de compositores puertorriqueños.</w:t>
      </w:r>
    </w:p>
    <w:p w:rsidR="004C2A62" w:rsidRPr="0075309A" w:rsidRDefault="004C2A62" w:rsidP="0075309A">
      <w:pPr>
        <w:pStyle w:val="ListParagraph"/>
        <w:numPr>
          <w:ilvl w:val="0"/>
          <w:numId w:val="30"/>
        </w:numPr>
        <w:spacing w:before="120" w:after="120" w:line="240" w:lineRule="auto"/>
        <w:contextualSpacing w:val="0"/>
        <w:rPr>
          <w:rFonts w:asciiTheme="minorHAnsi" w:eastAsia="Times New Roman" w:hAnsiTheme="minorHAnsi" w:cstheme="minorHAnsi"/>
          <w:color w:val="000000"/>
          <w:lang w:val="es-PR"/>
        </w:rPr>
      </w:pPr>
      <w:r w:rsidRPr="004C2A62">
        <w:rPr>
          <w:rFonts w:asciiTheme="minorHAnsi" w:eastAsia="Times New Roman" w:hAnsiTheme="minorHAnsi" w:cstheme="minorHAnsi"/>
          <w:color w:val="000000"/>
          <w:lang w:val="es-PR"/>
        </w:rPr>
        <w:t xml:space="preserve">Fomentar la creación de un ambiente artístico adecuado para el estímulo y desarrollo profesional del talento musical puertorriqueño. </w:t>
      </w:r>
    </w:p>
    <w:p w:rsidR="004C2A62" w:rsidRPr="004C2A62" w:rsidRDefault="004C2A62" w:rsidP="0075309A">
      <w:pPr>
        <w:pStyle w:val="ListParagraph"/>
        <w:numPr>
          <w:ilvl w:val="0"/>
          <w:numId w:val="30"/>
        </w:numPr>
        <w:spacing w:before="120" w:after="120" w:line="240" w:lineRule="auto"/>
        <w:contextualSpacing w:val="0"/>
        <w:rPr>
          <w:rFonts w:asciiTheme="minorHAnsi" w:eastAsia="Times New Roman" w:hAnsiTheme="minorHAnsi" w:cstheme="minorHAnsi"/>
          <w:color w:val="000000"/>
          <w:lang w:val="es-PR"/>
        </w:rPr>
      </w:pPr>
      <w:r w:rsidRPr="004C2A62">
        <w:rPr>
          <w:rFonts w:asciiTheme="minorHAnsi" w:eastAsia="Times New Roman" w:hAnsiTheme="minorHAnsi" w:cstheme="minorHAnsi"/>
          <w:color w:val="000000"/>
          <w:lang w:val="es-PR"/>
        </w:rPr>
        <w:t xml:space="preserve">Proveer oportunidades a jóvenes instrumentistas egresados del Conservatorio de Música y otras instituciones educativas en el campo musical de formar parte de nuestra Orquesta Sinfónica. </w:t>
      </w:r>
    </w:p>
    <w:p w:rsidR="004C2A62" w:rsidRPr="004C2A62" w:rsidRDefault="004C2A62" w:rsidP="0075309A">
      <w:pPr>
        <w:pStyle w:val="ListParagraph"/>
        <w:numPr>
          <w:ilvl w:val="0"/>
          <w:numId w:val="30"/>
        </w:numPr>
        <w:spacing w:before="120" w:after="120" w:line="240" w:lineRule="auto"/>
        <w:contextualSpacing w:val="0"/>
        <w:rPr>
          <w:rFonts w:asciiTheme="minorHAnsi" w:eastAsia="Times New Roman" w:hAnsiTheme="minorHAnsi" w:cstheme="minorHAnsi"/>
          <w:color w:val="000000"/>
          <w:lang w:val="es-PR"/>
        </w:rPr>
      </w:pPr>
      <w:r w:rsidRPr="004C2A62">
        <w:rPr>
          <w:rFonts w:asciiTheme="minorHAnsi" w:eastAsia="Times New Roman" w:hAnsiTheme="minorHAnsi" w:cstheme="minorHAnsi"/>
          <w:color w:val="000000"/>
          <w:lang w:val="es-PR"/>
        </w:rPr>
        <w:t xml:space="preserve">Ofrecer conciertos gratuitos a diversas comunidades. </w:t>
      </w:r>
    </w:p>
    <w:p w:rsidR="004C2A62" w:rsidRPr="004C2A62" w:rsidRDefault="004C2A62" w:rsidP="0075309A">
      <w:pPr>
        <w:pStyle w:val="ListParagraph"/>
        <w:numPr>
          <w:ilvl w:val="0"/>
          <w:numId w:val="30"/>
        </w:numPr>
        <w:spacing w:before="120" w:after="120" w:line="240" w:lineRule="auto"/>
        <w:contextualSpacing w:val="0"/>
        <w:rPr>
          <w:rFonts w:asciiTheme="minorHAnsi" w:eastAsia="Times New Roman" w:hAnsiTheme="minorHAnsi" w:cstheme="minorHAnsi"/>
          <w:color w:val="000000"/>
          <w:lang w:val="es-PR"/>
        </w:rPr>
      </w:pPr>
      <w:r w:rsidRPr="004C2A62">
        <w:rPr>
          <w:rFonts w:asciiTheme="minorHAnsi" w:eastAsia="Times New Roman" w:hAnsiTheme="minorHAnsi" w:cstheme="minorHAnsi"/>
          <w:color w:val="000000"/>
          <w:lang w:val="es-PR"/>
        </w:rPr>
        <w:t>Colaborar con organizaciones culturales, educativas, cívicas gubernamentales y privadas en el proceso de educar un público con un sentido más crítico en la apreci</w:t>
      </w:r>
      <w:r w:rsidRPr="0075309A">
        <w:rPr>
          <w:rFonts w:asciiTheme="minorHAnsi" w:eastAsia="Times New Roman" w:hAnsiTheme="minorHAnsi" w:cstheme="minorHAnsi"/>
          <w:color w:val="000000"/>
          <w:lang w:val="es-PR"/>
        </w:rPr>
        <w:t>ación del repertorio sinfónico.</w:t>
      </w:r>
    </w:p>
    <w:sectPr w:rsidR="004C2A62" w:rsidRPr="004C2A62" w:rsidSect="0049566C">
      <w:headerReference w:type="even" r:id="rId16"/>
      <w:headerReference w:type="default" r:id="rId17"/>
      <w:footerReference w:type="even" r:id="rId18"/>
      <w:footerReference w:type="default" r:id="rId19"/>
      <w:headerReference w:type="first" r:id="rId20"/>
      <w:footerReference w:type="first" r:id="rId21"/>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4C" w:rsidRDefault="0014214C" w:rsidP="005501A9">
      <w:pPr>
        <w:spacing w:after="0" w:line="240" w:lineRule="auto"/>
      </w:pPr>
      <w:r>
        <w:separator/>
      </w:r>
    </w:p>
  </w:endnote>
  <w:endnote w:type="continuationSeparator" w:id="0">
    <w:p w:rsidR="0014214C" w:rsidRDefault="0014214C"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D" w:rsidRDefault="00E47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2AE9F4B1" wp14:editId="6C5CEBA3">
                <wp:simplePos x="0" y="0"/>
                <wp:positionH relativeFrom="column">
                  <wp:posOffset>-455295</wp:posOffset>
                </wp:positionH>
                <wp:positionV relativeFrom="paragraph">
                  <wp:posOffset>113030</wp:posOffset>
                </wp:positionV>
                <wp:extent cx="333375" cy="259715"/>
                <wp:effectExtent l="0" t="0" r="9525" b="6985"/>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43C8B50A" wp14:editId="05D61EF9">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4372B7" w:rsidRPr="00A625BF" w:rsidRDefault="004372B7" w:rsidP="006C7A2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006C7A25" w:rsidRPr="006C7A25">
            <w:rPr>
              <w:rFonts w:asciiTheme="minorHAnsi" w:eastAsiaTheme="minorHAnsi" w:hAnsiTheme="minorHAnsi" w:cstheme="minorBidi"/>
              <w:b/>
              <w:lang w:val="es-PR"/>
            </w:rPr>
            <w:fldChar w:fldCharType="begin"/>
          </w:r>
          <w:r w:rsidR="006C7A25" w:rsidRPr="006C7A25">
            <w:rPr>
              <w:rFonts w:asciiTheme="minorHAnsi" w:eastAsiaTheme="minorHAnsi" w:hAnsiTheme="minorHAnsi" w:cstheme="minorBidi"/>
              <w:b/>
              <w:lang w:val="es-PR"/>
            </w:rPr>
            <w:instrText xml:space="preserve"> PAGE  \* Arabic  \* MERGEFORMAT </w:instrText>
          </w:r>
          <w:r w:rsidR="006C7A25" w:rsidRPr="006C7A25">
            <w:rPr>
              <w:rFonts w:asciiTheme="minorHAnsi" w:eastAsiaTheme="minorHAnsi" w:hAnsiTheme="minorHAnsi" w:cstheme="minorBidi"/>
              <w:b/>
              <w:lang w:val="es-PR"/>
            </w:rPr>
            <w:fldChar w:fldCharType="separate"/>
          </w:r>
          <w:r w:rsidR="00BD2CF2">
            <w:rPr>
              <w:rFonts w:asciiTheme="minorHAnsi" w:eastAsiaTheme="minorHAnsi" w:hAnsiTheme="minorHAnsi" w:cstheme="minorBidi"/>
              <w:b/>
              <w:noProof/>
              <w:lang w:val="es-PR"/>
            </w:rPr>
            <w:t>1</w:t>
          </w:r>
          <w:r w:rsidR="006C7A25" w:rsidRPr="006C7A25">
            <w:rPr>
              <w:rFonts w:asciiTheme="minorHAnsi" w:eastAsiaTheme="minorHAnsi" w:hAnsiTheme="minorHAnsi" w:cstheme="minorBidi"/>
              <w:b/>
              <w:lang w:val="es-PR"/>
            </w:rPr>
            <w:fldChar w:fldCharType="end"/>
          </w:r>
          <w:r w:rsidR="006C7A25" w:rsidRPr="006C7A25">
            <w:rPr>
              <w:rFonts w:asciiTheme="minorHAnsi" w:eastAsiaTheme="minorHAnsi" w:hAnsiTheme="minorHAnsi" w:cstheme="minorBidi"/>
              <w:lang w:val="es-PR"/>
            </w:rPr>
            <w:t xml:space="preserve"> </w:t>
          </w:r>
          <w:r w:rsidR="006C7A25">
            <w:rPr>
              <w:rFonts w:asciiTheme="minorHAnsi" w:eastAsiaTheme="minorHAnsi" w:hAnsiTheme="minorHAnsi" w:cstheme="minorBidi"/>
              <w:lang w:val="es-PR"/>
            </w:rPr>
            <w:t xml:space="preserve">de </w:t>
          </w:r>
          <w:r w:rsidR="006C7A25" w:rsidRPr="006C7A25">
            <w:rPr>
              <w:rFonts w:asciiTheme="minorHAnsi" w:eastAsiaTheme="minorHAnsi" w:hAnsiTheme="minorHAnsi" w:cstheme="minorBidi"/>
              <w:b/>
              <w:lang w:val="es-PR"/>
            </w:rPr>
            <w:fldChar w:fldCharType="begin"/>
          </w:r>
          <w:r w:rsidR="006C7A25" w:rsidRPr="006C7A25">
            <w:rPr>
              <w:rFonts w:asciiTheme="minorHAnsi" w:eastAsiaTheme="minorHAnsi" w:hAnsiTheme="minorHAnsi" w:cstheme="minorBidi"/>
              <w:b/>
              <w:lang w:val="es-PR"/>
            </w:rPr>
            <w:instrText xml:space="preserve"> NUMPAGES  \* Arabic  \* MERGEFORMAT </w:instrText>
          </w:r>
          <w:r w:rsidR="006C7A25" w:rsidRPr="006C7A25">
            <w:rPr>
              <w:rFonts w:asciiTheme="minorHAnsi" w:eastAsiaTheme="minorHAnsi" w:hAnsiTheme="minorHAnsi" w:cstheme="minorBidi"/>
              <w:b/>
              <w:lang w:val="es-PR"/>
            </w:rPr>
            <w:fldChar w:fldCharType="separate"/>
          </w:r>
          <w:r w:rsidR="00BD2CF2">
            <w:rPr>
              <w:rFonts w:asciiTheme="minorHAnsi" w:eastAsiaTheme="minorHAnsi" w:hAnsiTheme="minorHAnsi" w:cstheme="minorBidi"/>
              <w:b/>
              <w:noProof/>
              <w:lang w:val="es-PR"/>
            </w:rPr>
            <w:t>1</w:t>
          </w:r>
          <w:r w:rsidR="006C7A25" w:rsidRPr="006C7A25">
            <w:rPr>
              <w:rFonts w:asciiTheme="minorHAnsi" w:eastAsiaTheme="minorHAnsi" w:hAnsiTheme="minorHAnsi" w:cstheme="minorBidi"/>
              <w:b/>
              <w:lang w:val="es-PR"/>
            </w:rPr>
            <w:fldChar w:fldCharType="end"/>
          </w:r>
        </w:p>
      </w:tc>
    </w:tr>
  </w:tbl>
  <w:p w:rsidR="004372B7" w:rsidRDefault="004372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D" w:rsidRDefault="00E47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4C" w:rsidRDefault="0014214C" w:rsidP="005501A9">
      <w:pPr>
        <w:spacing w:after="0" w:line="240" w:lineRule="auto"/>
      </w:pPr>
      <w:r>
        <w:separator/>
      </w:r>
    </w:p>
  </w:footnote>
  <w:footnote w:type="continuationSeparator" w:id="0">
    <w:p w:rsidR="0014214C" w:rsidRDefault="0014214C"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D" w:rsidRDefault="00E47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Pr="00627FC7" w:rsidRDefault="004372B7" w:rsidP="00F240F5">
    <w:pPr>
      <w:tabs>
        <w:tab w:val="center" w:pos="4680"/>
      </w:tabs>
      <w:spacing w:after="0" w:line="240" w:lineRule="auto"/>
      <w:ind w:right="1620"/>
      <w:rPr>
        <w:sz w:val="32"/>
        <w:szCs w:val="32"/>
        <w:lang w:val="es-PR"/>
      </w:rPr>
    </w:pPr>
    <w:r w:rsidRPr="00627FC7">
      <w:rPr>
        <w:noProof/>
        <w:sz w:val="32"/>
        <w:szCs w:val="32"/>
      </w:rPr>
      <mc:AlternateContent>
        <mc:Choice Requires="wps">
          <w:drawing>
            <wp:anchor distT="0" distB="0" distL="114300" distR="114300" simplePos="0" relativeHeight="251660288" behindDoc="0" locked="0" layoutInCell="1" allowOverlap="1" wp14:anchorId="0EC0C9F8" wp14:editId="1510DC5A">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627FC7" w:rsidP="00BC089D">
                          <w:pPr>
                            <w:spacing w:after="0" w:line="240" w:lineRule="auto"/>
                            <w:jc w:val="center"/>
                            <w:rPr>
                              <w:sz w:val="16"/>
                              <w:szCs w:val="16"/>
                              <w:lang w:val="es-PR"/>
                            </w:rPr>
                          </w:pPr>
                          <w:r>
                            <w:rPr>
                              <w:noProof/>
                              <w:sz w:val="16"/>
                              <w:szCs w:val="16"/>
                              <w:lang w:val="es-PR"/>
                            </w:rPr>
                            <w:t>COSPR</w:t>
                          </w:r>
                          <w:r w:rsidR="004372B7">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SCLAIAAFIEAAAOAAAAZHJzL2Uyb0RvYy54bWysVNtu2zAMfR+wfxD0vtjxkrUx4hRdugwD&#10;ugvQ7gNkWbaFSaImKbG7rx8lJ1l2exnmB0EUyUPykPT6ZtSKHITzEkxF57OcEmE4NNJ0Ff38uHtx&#10;TYkPzDRMgREVfRKe3myeP1sPthQF9KAa4QiCGF8OtqJ9CLbMMs97oZmfgRUGlS04zQKKrssaxwZE&#10;1yor8vxVNoBrrAMuvMfXu0lJNwm/bQUPH9vWi0BURTG3kE6Xzjqe2WbNys4x20t+TIP9QxaaSYNB&#10;z1B3LDCyd/I3KC25Aw9tmHHQGbSt5CLVgNXM81+qeeiZFakWJMfbM03+/8HyD4dPjsimosurOSWG&#10;aWzSoxgDeQ0jmUd+ButLNHuwaBhGfMY+p1q9vQf+xRMD256ZTtw6B0MvWIP5Jc/swnXC8RGkHt5D&#10;g2HYPkACGlunI3lIB0F07NPTuTcxFR5D5su8WKGKo+7lYlUsU/MyVp68rfPhrQBN4qWiDnuf0Nnh&#10;3gesA01PJjGYByWbnVQqCa6rt8qRA8M52aUvlo4uP5kpQ4aKrpbFciLgrxB5+v4EoWXAgVdSV/T6&#10;bMTKSNsb06RxDEyq6Y7xlcE0Io+RuonEMNbjsS81NE/IqINpsHER8dKD+0bJgENdUf91z5ygRL0z&#10;2JXVfLGIW5CExfKqQMFdaupLDTMcoSoaKJmu2zBtzt462fUY6TQHt9jJnUwkx1SnrI554+AmIo9L&#10;FjfjUk5WP34Fm+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VLC0giwCAABSBAAADgAAAAAAAAAAAAAAAAAuAgAAZHJz&#10;L2Uyb0RvYy54bWxQSwECLQAUAAYACAAAACEASIBzPd4AAAAJAQAADwAAAAAAAAAAAAAAAACGBAAA&#10;ZHJzL2Rvd25yZXYueG1sUEsFBgAAAAAEAAQA8wAAAJEFAAAAAA==&#10;">
              <v:textbox style="mso-fit-shape-to-text:t">
                <w:txbxContent>
                  <w:p w:rsidR="004372B7" w:rsidRPr="00815B23" w:rsidRDefault="00627FC7" w:rsidP="00BC089D">
                    <w:pPr>
                      <w:spacing w:after="0" w:line="240" w:lineRule="auto"/>
                      <w:jc w:val="center"/>
                      <w:rPr>
                        <w:sz w:val="16"/>
                        <w:szCs w:val="16"/>
                        <w:lang w:val="es-PR"/>
                      </w:rPr>
                    </w:pPr>
                    <w:r>
                      <w:rPr>
                        <w:noProof/>
                        <w:sz w:val="16"/>
                        <w:szCs w:val="16"/>
                        <w:lang w:val="es-PR"/>
                      </w:rPr>
                      <w:t>COSPR</w:t>
                    </w:r>
                    <w:r w:rsidR="004372B7">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627FC7" w:rsidRPr="00627FC7">
      <w:rPr>
        <w:rFonts w:asciiTheme="minorHAnsi" w:hAnsiTheme="minorHAnsi" w:cs="Arial"/>
        <w:noProof/>
        <w:color w:val="000000"/>
        <w:sz w:val="32"/>
        <w:szCs w:val="32"/>
        <w:lang w:val="es-PR"/>
      </w:rPr>
      <w:t xml:space="preserve">Orquesta Sinfónica de Puerto Rico (COSPR)  </w:t>
    </w:r>
    <w:r w:rsidRPr="00627FC7">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D" w:rsidRDefault="00E47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C1666E7"/>
    <w:multiLevelType w:val="hybridMultilevel"/>
    <w:tmpl w:val="02C22C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1B56127"/>
    <w:multiLevelType w:val="multilevel"/>
    <w:tmpl w:val="E22E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2">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25"/>
  </w:num>
  <w:num w:numId="3">
    <w:abstractNumId w:val="26"/>
  </w:num>
  <w:num w:numId="4">
    <w:abstractNumId w:val="30"/>
  </w:num>
  <w:num w:numId="5">
    <w:abstractNumId w:val="16"/>
  </w:num>
  <w:num w:numId="6">
    <w:abstractNumId w:val="12"/>
  </w:num>
  <w:num w:numId="7">
    <w:abstractNumId w:val="20"/>
  </w:num>
  <w:num w:numId="8">
    <w:abstractNumId w:val="10"/>
  </w:num>
  <w:num w:numId="9">
    <w:abstractNumId w:val="23"/>
  </w:num>
  <w:num w:numId="10">
    <w:abstractNumId w:val="9"/>
  </w:num>
  <w:num w:numId="11">
    <w:abstractNumId w:val="1"/>
  </w:num>
  <w:num w:numId="12">
    <w:abstractNumId w:val="29"/>
  </w:num>
  <w:num w:numId="13">
    <w:abstractNumId w:val="4"/>
  </w:num>
  <w:num w:numId="14">
    <w:abstractNumId w:val="24"/>
  </w:num>
  <w:num w:numId="15">
    <w:abstractNumId w:val="6"/>
  </w:num>
  <w:num w:numId="16">
    <w:abstractNumId w:val="19"/>
  </w:num>
  <w:num w:numId="17">
    <w:abstractNumId w:val="5"/>
  </w:num>
  <w:num w:numId="18">
    <w:abstractNumId w:val="22"/>
  </w:num>
  <w:num w:numId="19">
    <w:abstractNumId w:val="13"/>
  </w:num>
  <w:num w:numId="20">
    <w:abstractNumId w:val="21"/>
  </w:num>
  <w:num w:numId="21">
    <w:abstractNumId w:val="11"/>
  </w:num>
  <w:num w:numId="22">
    <w:abstractNumId w:val="2"/>
  </w:num>
  <w:num w:numId="23">
    <w:abstractNumId w:val="27"/>
  </w:num>
  <w:num w:numId="24">
    <w:abstractNumId w:val="28"/>
  </w:num>
  <w:num w:numId="25">
    <w:abstractNumId w:val="8"/>
  </w:num>
  <w:num w:numId="26">
    <w:abstractNumId w:val="0"/>
  </w:num>
  <w:num w:numId="27">
    <w:abstractNumId w:val="17"/>
  </w:num>
  <w:num w:numId="28">
    <w:abstractNumId w:val="15"/>
  </w:num>
  <w:num w:numId="29">
    <w:abstractNumId w:val="14"/>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220E1"/>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1C92"/>
    <w:rsid w:val="000B2831"/>
    <w:rsid w:val="000B69D3"/>
    <w:rsid w:val="000C5283"/>
    <w:rsid w:val="000D60F9"/>
    <w:rsid w:val="000E4017"/>
    <w:rsid w:val="000F40B6"/>
    <w:rsid w:val="000F7989"/>
    <w:rsid w:val="00101F32"/>
    <w:rsid w:val="0011279C"/>
    <w:rsid w:val="001143FE"/>
    <w:rsid w:val="00122E19"/>
    <w:rsid w:val="00126FC9"/>
    <w:rsid w:val="00130262"/>
    <w:rsid w:val="001307A4"/>
    <w:rsid w:val="00133BAB"/>
    <w:rsid w:val="00134878"/>
    <w:rsid w:val="001356F1"/>
    <w:rsid w:val="0014214C"/>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0F2C"/>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7ACF"/>
    <w:rsid w:val="002B5156"/>
    <w:rsid w:val="002B59DC"/>
    <w:rsid w:val="002C1753"/>
    <w:rsid w:val="002D1E0C"/>
    <w:rsid w:val="002D3544"/>
    <w:rsid w:val="002D3658"/>
    <w:rsid w:val="002D392D"/>
    <w:rsid w:val="002D72DF"/>
    <w:rsid w:val="002F030A"/>
    <w:rsid w:val="002F38A5"/>
    <w:rsid w:val="0030058C"/>
    <w:rsid w:val="003017A1"/>
    <w:rsid w:val="00303BF4"/>
    <w:rsid w:val="00306286"/>
    <w:rsid w:val="00307F9A"/>
    <w:rsid w:val="00314199"/>
    <w:rsid w:val="0033701A"/>
    <w:rsid w:val="00342A26"/>
    <w:rsid w:val="00344E42"/>
    <w:rsid w:val="003556DB"/>
    <w:rsid w:val="00362B7B"/>
    <w:rsid w:val="0036675A"/>
    <w:rsid w:val="00370141"/>
    <w:rsid w:val="00370F75"/>
    <w:rsid w:val="00393F9D"/>
    <w:rsid w:val="003950A0"/>
    <w:rsid w:val="003A20CF"/>
    <w:rsid w:val="003A7310"/>
    <w:rsid w:val="003B4575"/>
    <w:rsid w:val="003C6015"/>
    <w:rsid w:val="003D048C"/>
    <w:rsid w:val="003D096F"/>
    <w:rsid w:val="003E0674"/>
    <w:rsid w:val="003E3CF4"/>
    <w:rsid w:val="003F0271"/>
    <w:rsid w:val="003F6F56"/>
    <w:rsid w:val="003F7B76"/>
    <w:rsid w:val="003F7CAE"/>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C2A62"/>
    <w:rsid w:val="004C2D1D"/>
    <w:rsid w:val="004D2A32"/>
    <w:rsid w:val="004D33BF"/>
    <w:rsid w:val="004D415A"/>
    <w:rsid w:val="004E0DAC"/>
    <w:rsid w:val="004E1CC2"/>
    <w:rsid w:val="004F4209"/>
    <w:rsid w:val="004F7FB3"/>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7447"/>
    <w:rsid w:val="00614C19"/>
    <w:rsid w:val="00627FC7"/>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2D8"/>
    <w:rsid w:val="006A5C1B"/>
    <w:rsid w:val="006B5A60"/>
    <w:rsid w:val="006B7DFA"/>
    <w:rsid w:val="006C1662"/>
    <w:rsid w:val="006C50A0"/>
    <w:rsid w:val="006C6588"/>
    <w:rsid w:val="006C6B39"/>
    <w:rsid w:val="006C7A25"/>
    <w:rsid w:val="006E3049"/>
    <w:rsid w:val="006E374E"/>
    <w:rsid w:val="006F0C66"/>
    <w:rsid w:val="006F359E"/>
    <w:rsid w:val="00706AE9"/>
    <w:rsid w:val="00722794"/>
    <w:rsid w:val="00726CF4"/>
    <w:rsid w:val="007271F4"/>
    <w:rsid w:val="00735FB7"/>
    <w:rsid w:val="007415A2"/>
    <w:rsid w:val="0074728C"/>
    <w:rsid w:val="0075309A"/>
    <w:rsid w:val="00781E56"/>
    <w:rsid w:val="00790A6E"/>
    <w:rsid w:val="00793C85"/>
    <w:rsid w:val="007A5F4C"/>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075C8"/>
    <w:rsid w:val="00815B23"/>
    <w:rsid w:val="00817C0C"/>
    <w:rsid w:val="00824CB0"/>
    <w:rsid w:val="00832CC3"/>
    <w:rsid w:val="00841D9E"/>
    <w:rsid w:val="008542CD"/>
    <w:rsid w:val="008766CF"/>
    <w:rsid w:val="00877A45"/>
    <w:rsid w:val="008933EB"/>
    <w:rsid w:val="008947B8"/>
    <w:rsid w:val="008A0367"/>
    <w:rsid w:val="008B7F12"/>
    <w:rsid w:val="008C0303"/>
    <w:rsid w:val="008C479E"/>
    <w:rsid w:val="00910F3B"/>
    <w:rsid w:val="009111FD"/>
    <w:rsid w:val="00916D37"/>
    <w:rsid w:val="00917173"/>
    <w:rsid w:val="009177F5"/>
    <w:rsid w:val="00920F3A"/>
    <w:rsid w:val="00924F05"/>
    <w:rsid w:val="00933418"/>
    <w:rsid w:val="0093666D"/>
    <w:rsid w:val="00951825"/>
    <w:rsid w:val="00953728"/>
    <w:rsid w:val="00963FB9"/>
    <w:rsid w:val="0097559D"/>
    <w:rsid w:val="00983F08"/>
    <w:rsid w:val="009A1E26"/>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1FF7"/>
    <w:rsid w:val="00A34BC1"/>
    <w:rsid w:val="00A5086B"/>
    <w:rsid w:val="00A550FD"/>
    <w:rsid w:val="00A60B6E"/>
    <w:rsid w:val="00A625BF"/>
    <w:rsid w:val="00A633B9"/>
    <w:rsid w:val="00A64429"/>
    <w:rsid w:val="00A64584"/>
    <w:rsid w:val="00A67769"/>
    <w:rsid w:val="00A7361C"/>
    <w:rsid w:val="00A73A7D"/>
    <w:rsid w:val="00A85737"/>
    <w:rsid w:val="00A864B2"/>
    <w:rsid w:val="00A877BD"/>
    <w:rsid w:val="00A87E54"/>
    <w:rsid w:val="00A902C1"/>
    <w:rsid w:val="00AA77AB"/>
    <w:rsid w:val="00AB0DF3"/>
    <w:rsid w:val="00AB1AE5"/>
    <w:rsid w:val="00AB301F"/>
    <w:rsid w:val="00AB7A80"/>
    <w:rsid w:val="00AD3D71"/>
    <w:rsid w:val="00AD43CC"/>
    <w:rsid w:val="00AF0F2D"/>
    <w:rsid w:val="00AF2EAF"/>
    <w:rsid w:val="00B03DC9"/>
    <w:rsid w:val="00B04568"/>
    <w:rsid w:val="00B26E30"/>
    <w:rsid w:val="00B34D73"/>
    <w:rsid w:val="00B45ED1"/>
    <w:rsid w:val="00B51703"/>
    <w:rsid w:val="00B65025"/>
    <w:rsid w:val="00B671BF"/>
    <w:rsid w:val="00B80DEA"/>
    <w:rsid w:val="00B841AB"/>
    <w:rsid w:val="00B96917"/>
    <w:rsid w:val="00B97614"/>
    <w:rsid w:val="00BA55B7"/>
    <w:rsid w:val="00BB3D25"/>
    <w:rsid w:val="00BB72F0"/>
    <w:rsid w:val="00BB7B19"/>
    <w:rsid w:val="00BB7D22"/>
    <w:rsid w:val="00BC089D"/>
    <w:rsid w:val="00BC361C"/>
    <w:rsid w:val="00BD2CF2"/>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A1937"/>
    <w:rsid w:val="00CD525F"/>
    <w:rsid w:val="00CD63D6"/>
    <w:rsid w:val="00CD66EA"/>
    <w:rsid w:val="00CF03B8"/>
    <w:rsid w:val="00CF2784"/>
    <w:rsid w:val="00CF6CE6"/>
    <w:rsid w:val="00D06C9C"/>
    <w:rsid w:val="00D17B23"/>
    <w:rsid w:val="00D22047"/>
    <w:rsid w:val="00D33863"/>
    <w:rsid w:val="00D34073"/>
    <w:rsid w:val="00D34625"/>
    <w:rsid w:val="00D42014"/>
    <w:rsid w:val="00D57B36"/>
    <w:rsid w:val="00D7011E"/>
    <w:rsid w:val="00D7198C"/>
    <w:rsid w:val="00D72227"/>
    <w:rsid w:val="00D90302"/>
    <w:rsid w:val="00D97047"/>
    <w:rsid w:val="00DA5FE2"/>
    <w:rsid w:val="00DA69B9"/>
    <w:rsid w:val="00DA7DB1"/>
    <w:rsid w:val="00DB009A"/>
    <w:rsid w:val="00DB20A5"/>
    <w:rsid w:val="00DB63E7"/>
    <w:rsid w:val="00DB7E70"/>
    <w:rsid w:val="00DC25B7"/>
    <w:rsid w:val="00DC7A7E"/>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47F7D"/>
    <w:rsid w:val="00E53D05"/>
    <w:rsid w:val="00E62823"/>
    <w:rsid w:val="00E67805"/>
    <w:rsid w:val="00E94C68"/>
    <w:rsid w:val="00EB10E1"/>
    <w:rsid w:val="00EB7ACD"/>
    <w:rsid w:val="00EC0600"/>
    <w:rsid w:val="00EE0ADA"/>
    <w:rsid w:val="00EE130A"/>
    <w:rsid w:val="00EE3A06"/>
    <w:rsid w:val="00EE489A"/>
    <w:rsid w:val="00F028E3"/>
    <w:rsid w:val="00F05AE7"/>
    <w:rsid w:val="00F10880"/>
    <w:rsid w:val="00F1249F"/>
    <w:rsid w:val="00F240F5"/>
    <w:rsid w:val="00F3589A"/>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0925">
      <w:bodyDiv w:val="1"/>
      <w:marLeft w:val="0"/>
      <w:marRight w:val="0"/>
      <w:marTop w:val="0"/>
      <w:marBottom w:val="0"/>
      <w:divBdr>
        <w:top w:val="none" w:sz="0" w:space="0" w:color="auto"/>
        <w:left w:val="none" w:sz="0" w:space="0" w:color="auto"/>
        <w:bottom w:val="none" w:sz="0" w:space="0" w:color="auto"/>
        <w:right w:val="none" w:sz="0" w:space="0" w:color="auto"/>
      </w:divBdr>
      <w:divsChild>
        <w:div w:id="1170098024">
          <w:marLeft w:val="0"/>
          <w:marRight w:val="0"/>
          <w:marTop w:val="0"/>
          <w:marBottom w:val="0"/>
          <w:divBdr>
            <w:top w:val="none" w:sz="0" w:space="0" w:color="auto"/>
            <w:left w:val="none" w:sz="0" w:space="0" w:color="auto"/>
            <w:bottom w:val="none" w:sz="0" w:space="0" w:color="auto"/>
            <w:right w:val="none" w:sz="0" w:space="0" w:color="auto"/>
          </w:divBdr>
          <w:divsChild>
            <w:div w:id="1772509472">
              <w:marLeft w:val="0"/>
              <w:marRight w:val="0"/>
              <w:marTop w:val="0"/>
              <w:marBottom w:val="0"/>
              <w:divBdr>
                <w:top w:val="none" w:sz="0" w:space="0" w:color="auto"/>
                <w:left w:val="none" w:sz="0" w:space="0" w:color="auto"/>
                <w:bottom w:val="none" w:sz="0" w:space="0" w:color="auto"/>
                <w:right w:val="none" w:sz="0" w:space="0" w:color="auto"/>
              </w:divBdr>
              <w:divsChild>
                <w:div w:id="545139261">
                  <w:marLeft w:val="0"/>
                  <w:marRight w:val="0"/>
                  <w:marTop w:val="0"/>
                  <w:marBottom w:val="0"/>
                  <w:divBdr>
                    <w:top w:val="none" w:sz="0" w:space="0" w:color="auto"/>
                    <w:left w:val="none" w:sz="0" w:space="0" w:color="auto"/>
                    <w:bottom w:val="none" w:sz="0" w:space="0" w:color="auto"/>
                    <w:right w:val="none" w:sz="0" w:space="0" w:color="auto"/>
                  </w:divBdr>
                  <w:divsChild>
                    <w:div w:id="869150510">
                      <w:marLeft w:val="0"/>
                      <w:marRight w:val="0"/>
                      <w:marTop w:val="0"/>
                      <w:marBottom w:val="0"/>
                      <w:divBdr>
                        <w:top w:val="none" w:sz="0" w:space="0" w:color="auto"/>
                        <w:left w:val="none" w:sz="0" w:space="0" w:color="auto"/>
                        <w:bottom w:val="none" w:sz="0" w:space="0" w:color="auto"/>
                        <w:right w:val="none" w:sz="0" w:space="0" w:color="auto"/>
                      </w:divBdr>
                      <w:divsChild>
                        <w:div w:id="476070151">
                          <w:marLeft w:val="0"/>
                          <w:marRight w:val="0"/>
                          <w:marTop w:val="0"/>
                          <w:marBottom w:val="0"/>
                          <w:divBdr>
                            <w:top w:val="none" w:sz="0" w:space="0" w:color="auto"/>
                            <w:left w:val="none" w:sz="0" w:space="0" w:color="auto"/>
                            <w:bottom w:val="none" w:sz="0" w:space="0" w:color="auto"/>
                            <w:right w:val="none" w:sz="0" w:space="0" w:color="auto"/>
                          </w:divBdr>
                          <w:divsChild>
                            <w:div w:id="13940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COSPR-Directorio%20de%20Agencia/COSPR-000-Directorio%20de%20Agencia.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69</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D22D6-7BF6-46A7-901E-7F594D4E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517-8940-40A4-BED8-C0B55CEA8E53}">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581C466E-B1E9-4C44-AE17-DB8414CB73A1}">
  <ds:schemaRefs>
    <ds:schemaRef ds:uri="http://schemas.microsoft.com/sharepoint/v3/contenttype/forms"/>
  </ds:schemaRefs>
</ds:datastoreItem>
</file>

<file path=customXml/itemProps4.xml><?xml version="1.0" encoding="utf-8"?>
<ds:datastoreItem xmlns:ds="http://schemas.openxmlformats.org/officeDocument/2006/customXml" ds:itemID="{31522662-77DA-48D8-BFDC-538A5646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Información General del COSPR</vt:lpstr>
    </vt:vector>
  </TitlesOfParts>
  <Company>Hewlett-Packard Company</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COSPR</dc:title>
  <dc:subject>Información General</dc:subject>
  <dc:creator>3-1-1 Tu Línea de Servicios de Gobierno</dc:creator>
  <cp:keywords>COSPR</cp:keywords>
  <cp:lastModifiedBy>respondadmin</cp:lastModifiedBy>
  <cp:revision>6</cp:revision>
  <cp:lastPrinted>2012-08-28T21:30:00Z</cp:lastPrinted>
  <dcterms:created xsi:type="dcterms:W3CDTF">2012-08-31T18:20:00Z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