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A625B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A625BF" w:rsidRDefault="0049566C" w:rsidP="00591CEE">
            <w:pPr>
              <w:pStyle w:val="NormalWeb"/>
              <w:rPr>
                <w:rFonts w:ascii="Verdana" w:hAnsi="Verdana" w:cs="Arial"/>
                <w:color w:val="000000"/>
                <w:sz w:val="20"/>
                <w:szCs w:val="20"/>
                <w:lang w:val="es-PR"/>
              </w:rPr>
            </w:pPr>
            <w:bookmarkStart w:id="0" w:name="_GoBack"/>
            <w:bookmarkEnd w:id="0"/>
            <w:r>
              <w:rPr>
                <w:b/>
                <w:noProof/>
                <w:sz w:val="28"/>
                <w:szCs w:val="28"/>
                <w:lang w:val="en-US"/>
              </w:rPr>
              <w:drawing>
                <wp:inline distT="0" distB="0" distL="0" distR="0" wp14:anchorId="1630DC8A" wp14:editId="6B8966DB">
                  <wp:extent cx="267335" cy="276225"/>
                  <wp:effectExtent l="19050" t="0" r="0" b="0"/>
                  <wp:docPr id="330"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A625BF" w:rsidRDefault="0049566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Descripción del Servicio </w:t>
            </w:r>
          </w:p>
        </w:tc>
      </w:tr>
    </w:tbl>
    <w:p w:rsidR="00B9135C" w:rsidRPr="00723229" w:rsidRDefault="0049566C" w:rsidP="002241F3">
      <w:pPr>
        <w:pStyle w:val="NormalWeb"/>
        <w:spacing w:before="120" w:beforeAutospacing="0" w:after="120" w:afterAutospacing="0"/>
        <w:rPr>
          <w:rFonts w:asciiTheme="minorHAnsi" w:hAnsiTheme="minorHAnsi" w:cs="Arial"/>
          <w:noProof/>
          <w:color w:val="000000"/>
          <w:lang w:val="es-PR"/>
        </w:rPr>
      </w:pPr>
      <w:r w:rsidRPr="00723229">
        <w:rPr>
          <w:rFonts w:asciiTheme="minorHAnsi" w:hAnsiTheme="minorHAnsi" w:cs="Arial"/>
          <w:noProof/>
          <w:color w:val="000000"/>
          <w:lang w:val="es-PR"/>
        </w:rPr>
        <w:t>El Departamento de Justicia</w:t>
      </w:r>
      <w:r w:rsidR="002353F0" w:rsidRPr="00723229">
        <w:rPr>
          <w:rFonts w:asciiTheme="minorHAnsi" w:hAnsiTheme="minorHAnsi" w:cs="Arial"/>
          <w:noProof/>
          <w:color w:val="000000"/>
          <w:lang w:val="es-PR"/>
        </w:rPr>
        <w:t xml:space="preserve"> (DJ)</w:t>
      </w:r>
      <w:r w:rsidRPr="00723229">
        <w:rPr>
          <w:rFonts w:asciiTheme="minorHAnsi" w:hAnsiTheme="minorHAnsi" w:cs="Arial"/>
          <w:noProof/>
          <w:color w:val="000000"/>
          <w:lang w:val="es-PR"/>
        </w:rPr>
        <w:t xml:space="preserve"> vela por el fiel cumplimiento de las leyes y la Constitución</w:t>
      </w:r>
      <w:r w:rsidR="00B9135C" w:rsidRPr="00723229">
        <w:rPr>
          <w:rFonts w:asciiTheme="minorHAnsi" w:hAnsiTheme="minorHAnsi" w:cs="Arial"/>
          <w:noProof/>
          <w:color w:val="000000"/>
          <w:lang w:val="es-PR"/>
        </w:rPr>
        <w:t>,</w:t>
      </w:r>
      <w:r w:rsidRPr="00723229">
        <w:rPr>
          <w:rFonts w:asciiTheme="minorHAnsi" w:hAnsiTheme="minorHAnsi" w:cs="Arial"/>
          <w:noProof/>
          <w:color w:val="000000"/>
          <w:lang w:val="es-PR"/>
        </w:rPr>
        <w:t xml:space="preserve"> y defiende los más altos principios de igualdad y dignidad. </w:t>
      </w:r>
    </w:p>
    <w:p w:rsidR="00FE7F03" w:rsidRPr="00723229" w:rsidRDefault="0049566C" w:rsidP="002241F3">
      <w:pPr>
        <w:pStyle w:val="NormalWeb"/>
        <w:spacing w:before="120" w:beforeAutospacing="0" w:after="120" w:afterAutospacing="0"/>
        <w:rPr>
          <w:rFonts w:asciiTheme="minorHAnsi" w:hAnsiTheme="minorHAnsi" w:cs="Arial"/>
          <w:noProof/>
          <w:color w:val="000000"/>
          <w:lang w:val="es-PR"/>
        </w:rPr>
      </w:pPr>
      <w:r w:rsidRPr="00723229">
        <w:rPr>
          <w:rFonts w:asciiTheme="minorHAnsi" w:hAnsiTheme="minorHAnsi" w:cs="Arial"/>
          <w:noProof/>
          <w:color w:val="000000"/>
          <w:lang w:val="es-PR"/>
        </w:rPr>
        <w:t xml:space="preserve">Proteger la integridad de las instituciones del Estado Libre Asociado y sus funcionarios por medio de asesoramiento y representación legal adecuada y efectiva. </w:t>
      </w:r>
    </w:p>
    <w:p w:rsidR="0049566C" w:rsidRPr="00723229" w:rsidRDefault="0049566C" w:rsidP="002241F3">
      <w:pPr>
        <w:pStyle w:val="NormalWeb"/>
        <w:spacing w:before="120" w:beforeAutospacing="0" w:after="120" w:afterAutospacing="0"/>
        <w:rPr>
          <w:rFonts w:asciiTheme="minorHAnsi" w:hAnsiTheme="minorHAnsi" w:cs="Arial"/>
          <w:color w:val="000000"/>
          <w:sz w:val="22"/>
          <w:szCs w:val="22"/>
          <w:lang w:val="es-PR"/>
        </w:rPr>
      </w:pPr>
      <w:r w:rsidRPr="00723229">
        <w:rPr>
          <w:rFonts w:asciiTheme="minorHAnsi" w:hAnsiTheme="minorHAnsi" w:cs="Arial"/>
          <w:noProof/>
          <w:color w:val="000000"/>
          <w:lang w:val="es-PR"/>
        </w:rPr>
        <w:t>Representar al pueblo de Puerto Rico en casos criminales y da</w:t>
      </w:r>
      <w:r w:rsidR="00B9135C" w:rsidRPr="00723229">
        <w:rPr>
          <w:rFonts w:asciiTheme="minorHAnsi" w:hAnsiTheme="minorHAnsi" w:cs="Arial"/>
          <w:noProof/>
          <w:color w:val="000000"/>
          <w:lang w:val="es-PR"/>
        </w:rPr>
        <w:t>r</w:t>
      </w:r>
      <w:r w:rsidRPr="00723229">
        <w:rPr>
          <w:rFonts w:asciiTheme="minorHAnsi" w:hAnsiTheme="minorHAnsi" w:cs="Arial"/>
          <w:noProof/>
          <w:color w:val="000000"/>
          <w:lang w:val="es-PR"/>
        </w:rPr>
        <w:t xml:space="preserve"> certeza al tráfico jurídico de propiedades inmuebles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723229"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723229" w:rsidRDefault="0049566C" w:rsidP="00F3589A">
            <w:pPr>
              <w:pStyle w:val="NormalWeb"/>
              <w:rPr>
                <w:rFonts w:ascii="Verdana" w:hAnsi="Verdana" w:cs="Arial"/>
                <w:color w:val="000000"/>
                <w:sz w:val="20"/>
                <w:szCs w:val="20"/>
                <w:lang w:val="es-PR"/>
              </w:rPr>
            </w:pPr>
            <w:r w:rsidRPr="00723229">
              <w:rPr>
                <w:rFonts w:ascii="Arial" w:hAnsi="Arial" w:cs="Arial"/>
                <w:noProof/>
                <w:sz w:val="20"/>
                <w:szCs w:val="20"/>
                <w:lang w:val="en-US"/>
              </w:rPr>
              <w:drawing>
                <wp:inline distT="0" distB="0" distL="0" distR="0" wp14:anchorId="1ED9684E" wp14:editId="15833029">
                  <wp:extent cx="276225" cy="276225"/>
                  <wp:effectExtent l="19050" t="0" r="9525" b="0"/>
                  <wp:docPr id="331"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723229" w:rsidRDefault="0049566C" w:rsidP="00A625BF">
            <w:pPr>
              <w:spacing w:after="0" w:line="240" w:lineRule="auto"/>
              <w:rPr>
                <w:rFonts w:asciiTheme="minorHAnsi" w:eastAsiaTheme="minorHAnsi" w:hAnsiTheme="minorHAnsi" w:cstheme="minorBidi"/>
                <w:b/>
                <w:sz w:val="28"/>
                <w:szCs w:val="28"/>
                <w:lang w:val="es-PR"/>
              </w:rPr>
            </w:pPr>
            <w:r w:rsidRPr="00723229">
              <w:rPr>
                <w:rFonts w:asciiTheme="minorHAnsi" w:eastAsiaTheme="minorHAnsi" w:hAnsiTheme="minorHAnsi" w:cstheme="minorBidi"/>
                <w:b/>
                <w:sz w:val="28"/>
                <w:szCs w:val="28"/>
                <w:lang w:val="es-PR"/>
              </w:rPr>
              <w:t xml:space="preserve">Lugar y Horario de Servicio </w:t>
            </w:r>
          </w:p>
        </w:tc>
      </w:tr>
    </w:tbl>
    <w:p w:rsidR="0049566C" w:rsidRPr="00723229" w:rsidRDefault="002E0FA0" w:rsidP="00F240F5">
      <w:pPr>
        <w:shd w:val="clear" w:color="auto" w:fill="FFFFFF"/>
        <w:spacing w:before="120" w:after="120" w:line="240" w:lineRule="auto"/>
        <w:rPr>
          <w:rStyle w:val="Hyperlink"/>
          <w:rFonts w:cs="Arial"/>
          <w:noProof/>
          <w:lang w:val="es-PR"/>
        </w:rPr>
      </w:pPr>
      <w:hyperlink r:id="rId14" w:history="1">
        <w:r w:rsidR="0049566C" w:rsidRPr="00723229">
          <w:rPr>
            <w:rStyle w:val="Hyperlink"/>
            <w:rFonts w:cs="Arial"/>
            <w:lang w:val="es-PR"/>
          </w:rPr>
          <w:t xml:space="preserve">Directorio de </w:t>
        </w:r>
        <w:r w:rsidR="0049566C" w:rsidRPr="00723229">
          <w:rPr>
            <w:rStyle w:val="Hyperlink"/>
            <w:rFonts w:cs="Arial"/>
            <w:noProof/>
            <w:lang w:val="es-PR"/>
          </w:rPr>
          <w:t>DJ</w:t>
        </w:r>
      </w:hyperlink>
    </w:p>
    <w:p w:rsidR="00DA1A0D" w:rsidRPr="00723229" w:rsidRDefault="00DA1A0D" w:rsidP="00F240F5">
      <w:pPr>
        <w:shd w:val="clear" w:color="auto" w:fill="FFFFFF"/>
        <w:spacing w:before="120" w:after="120" w:line="240" w:lineRule="auto"/>
        <w:rPr>
          <w:rStyle w:val="Hyperlink"/>
          <w:rFonts w:cs="Arial"/>
          <w:noProof/>
          <w:color w:val="auto"/>
          <w:u w:val="none"/>
          <w:lang w:val="es-PR"/>
        </w:rPr>
      </w:pPr>
      <w:r w:rsidRPr="00723229">
        <w:rPr>
          <w:rStyle w:val="Hyperlink"/>
          <w:rFonts w:cs="Arial"/>
          <w:noProof/>
          <w:color w:val="auto"/>
          <w:u w:val="none"/>
          <w:lang w:val="es-PR"/>
        </w:rPr>
        <w:t>Transacciones en PR.GOV:</w:t>
      </w:r>
    </w:p>
    <w:p w:rsidR="00DA1A0D" w:rsidRPr="00723229" w:rsidRDefault="00DA1A0D" w:rsidP="00DA1A0D">
      <w:pPr>
        <w:pStyle w:val="ListParagraph"/>
        <w:numPr>
          <w:ilvl w:val="0"/>
          <w:numId w:val="32"/>
        </w:numPr>
        <w:shd w:val="clear" w:color="auto" w:fill="FFFFFF"/>
        <w:spacing w:before="120" w:after="120" w:line="240" w:lineRule="auto"/>
        <w:rPr>
          <w:rStyle w:val="Hyperlink"/>
          <w:rFonts w:asciiTheme="minorHAnsi" w:hAnsiTheme="minorHAnsi" w:cstheme="minorHAnsi"/>
          <w:color w:val="auto"/>
          <w:u w:val="none"/>
          <w:lang w:val="es-PR"/>
        </w:rPr>
      </w:pPr>
      <w:r w:rsidRPr="00723229">
        <w:rPr>
          <w:rFonts w:asciiTheme="minorHAnsi" w:hAnsiTheme="minorHAnsi" w:cstheme="minorHAnsi"/>
          <w:lang w:val="es-PR"/>
        </w:rPr>
        <w:t>Cuestionario de Recopilación de Información para Candidato a Jurado</w:t>
      </w:r>
    </w:p>
    <w:p w:rsidR="00DA1A0D" w:rsidRPr="00723229" w:rsidRDefault="00DA1A0D" w:rsidP="00DA1A0D">
      <w:pPr>
        <w:pStyle w:val="ListParagraph"/>
        <w:numPr>
          <w:ilvl w:val="0"/>
          <w:numId w:val="32"/>
        </w:numPr>
        <w:shd w:val="clear" w:color="auto" w:fill="FFFFFF"/>
        <w:spacing w:before="120" w:after="120" w:line="240" w:lineRule="auto"/>
        <w:rPr>
          <w:rFonts w:asciiTheme="minorHAnsi" w:hAnsiTheme="minorHAnsi" w:cstheme="minorHAnsi"/>
          <w:lang w:val="es-PR"/>
        </w:rPr>
      </w:pPr>
      <w:r w:rsidRPr="00723229">
        <w:rPr>
          <w:rFonts w:asciiTheme="minorHAnsi" w:hAnsiTheme="minorHAnsi" w:cstheme="minorHAnsi"/>
          <w:color w:val="000000" w:themeColor="text1"/>
          <w:lang w:val="es-PR"/>
        </w:rPr>
        <w:t>Certificación Negativa o Acreditativa de Testamento-Tribunal Supremo</w:t>
      </w:r>
    </w:p>
    <w:p w:rsidR="00DA1A0D" w:rsidRPr="00723229" w:rsidRDefault="00DA1A0D" w:rsidP="00DA1A0D">
      <w:pPr>
        <w:pStyle w:val="ListParagraph"/>
        <w:numPr>
          <w:ilvl w:val="0"/>
          <w:numId w:val="32"/>
        </w:numPr>
        <w:shd w:val="clear" w:color="auto" w:fill="FFFFFF"/>
        <w:spacing w:before="120" w:after="120" w:line="240" w:lineRule="auto"/>
        <w:rPr>
          <w:rFonts w:asciiTheme="minorHAnsi" w:hAnsiTheme="minorHAnsi" w:cstheme="minorHAnsi"/>
          <w:lang w:val="es-PR"/>
        </w:rPr>
      </w:pPr>
      <w:r w:rsidRPr="00723229">
        <w:rPr>
          <w:rFonts w:asciiTheme="minorHAnsi" w:hAnsiTheme="minorHAnsi" w:cstheme="minorHAnsi"/>
          <w:color w:val="000000" w:themeColor="text1"/>
          <w:lang w:val="es-PR"/>
        </w:rPr>
        <w:t>Registro de la Propiedad</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49566C" w:rsidRPr="00723229"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723229" w:rsidRDefault="0049566C" w:rsidP="0011279C">
            <w:pPr>
              <w:pStyle w:val="NormalWeb"/>
              <w:rPr>
                <w:rFonts w:ascii="Verdana" w:hAnsi="Verdana" w:cs="Arial"/>
                <w:color w:val="000000"/>
                <w:sz w:val="20"/>
                <w:szCs w:val="20"/>
                <w:lang w:val="es-PR"/>
              </w:rPr>
            </w:pPr>
            <w:r w:rsidRPr="00723229">
              <w:rPr>
                <w:rFonts w:ascii="Arial" w:hAnsi="Arial" w:cs="Arial"/>
                <w:noProof/>
                <w:sz w:val="20"/>
                <w:szCs w:val="20"/>
                <w:lang w:val="en-US"/>
              </w:rPr>
              <w:drawing>
                <wp:inline distT="0" distB="0" distL="0" distR="0" wp14:anchorId="64DB54BB" wp14:editId="4D4E80D8">
                  <wp:extent cx="276225" cy="276225"/>
                  <wp:effectExtent l="19050" t="0" r="9525" b="0"/>
                  <wp:docPr id="332"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723229">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49566C" w:rsidRPr="00723229" w:rsidRDefault="0049566C" w:rsidP="00A625BF">
            <w:pPr>
              <w:spacing w:after="0" w:line="240" w:lineRule="auto"/>
              <w:rPr>
                <w:rFonts w:asciiTheme="minorHAnsi" w:eastAsiaTheme="minorHAnsi" w:hAnsiTheme="minorHAnsi" w:cstheme="minorBidi"/>
                <w:b/>
                <w:sz w:val="28"/>
                <w:szCs w:val="28"/>
                <w:lang w:val="es-PR"/>
              </w:rPr>
            </w:pPr>
            <w:r w:rsidRPr="00723229">
              <w:rPr>
                <w:rFonts w:asciiTheme="minorHAnsi" w:eastAsiaTheme="minorHAnsi" w:hAnsiTheme="minorHAnsi" w:cstheme="minorBidi"/>
                <w:b/>
                <w:sz w:val="28"/>
                <w:szCs w:val="28"/>
                <w:lang w:val="es-PR"/>
              </w:rPr>
              <w:t>Preguntas Frecuentes</w:t>
            </w:r>
          </w:p>
        </w:tc>
      </w:tr>
    </w:tbl>
    <w:p w:rsidR="0049566C" w:rsidRPr="00723229" w:rsidRDefault="0049566C" w:rsidP="00A25135">
      <w:pPr>
        <w:spacing w:before="120" w:after="120" w:line="240" w:lineRule="auto"/>
        <w:rPr>
          <w:rFonts w:eastAsia="Times New Roman" w:cs="Arial"/>
          <w:color w:val="000000"/>
          <w:lang w:val="es-PR"/>
        </w:rPr>
      </w:pPr>
      <w:r w:rsidRPr="00723229">
        <w:rPr>
          <w:rFonts w:eastAsia="Times New Roman" w:cs="Arial"/>
          <w:color w:val="000000"/>
          <w:lang w:val="es-PR"/>
        </w:rPr>
        <w:t>Algunos de los servicios ofrecidos por la agencia son los siguientes:</w:t>
      </w:r>
    </w:p>
    <w:p w:rsidR="00FE7F03" w:rsidRPr="00723229" w:rsidRDefault="00FE7F03" w:rsidP="00242BBB">
      <w:pPr>
        <w:pStyle w:val="ListParagraph"/>
        <w:numPr>
          <w:ilvl w:val="0"/>
          <w:numId w:val="31"/>
        </w:numPr>
        <w:spacing w:before="120" w:after="120" w:line="240" w:lineRule="auto"/>
        <w:contextualSpacing w:val="0"/>
        <w:jc w:val="both"/>
        <w:rPr>
          <w:rFonts w:eastAsia="Times New Roman" w:cs="Arial"/>
          <w:color w:val="000000"/>
          <w:lang w:val="es-PR"/>
        </w:rPr>
      </w:pPr>
      <w:bookmarkStart w:id="1" w:name="PROG2056"/>
      <w:r w:rsidRPr="00723229">
        <w:rPr>
          <w:rFonts w:eastAsia="Times New Roman" w:cs="Arial"/>
          <w:color w:val="000000"/>
          <w:lang w:val="es-PR"/>
        </w:rPr>
        <w:t>Provee el asesoramiento requerido a la Oficina del Gobernador, agencias de la Rama Ejecutiva y la Asamblea Legislativa, sobre opiniones, contratos y solicitudes de representación legal.</w:t>
      </w:r>
    </w:p>
    <w:p w:rsidR="00FE7F03" w:rsidRPr="00723229" w:rsidRDefault="00FE7F03" w:rsidP="00242BBB">
      <w:pPr>
        <w:pStyle w:val="ListParagraph"/>
        <w:numPr>
          <w:ilvl w:val="0"/>
          <w:numId w:val="31"/>
        </w:numPr>
        <w:spacing w:before="120" w:after="120" w:line="240" w:lineRule="auto"/>
        <w:contextualSpacing w:val="0"/>
        <w:jc w:val="both"/>
        <w:rPr>
          <w:rFonts w:eastAsia="Times New Roman" w:cs="Arial"/>
          <w:color w:val="000000"/>
          <w:lang w:val="es-PR"/>
        </w:rPr>
      </w:pPr>
      <w:r w:rsidRPr="00723229">
        <w:rPr>
          <w:rFonts w:eastAsia="Times New Roman" w:cs="Arial"/>
          <w:color w:val="000000"/>
          <w:lang w:val="es-PR"/>
        </w:rPr>
        <w:t xml:space="preserve">Asesora sobre la legislación proyectada o radicada, así como la originada y auspiciada por el Departamento de Justicia. </w:t>
      </w:r>
    </w:p>
    <w:p w:rsidR="00FE7F03" w:rsidRPr="00723229" w:rsidRDefault="00FE7F03" w:rsidP="00242BBB">
      <w:pPr>
        <w:pStyle w:val="ListParagraph"/>
        <w:numPr>
          <w:ilvl w:val="0"/>
          <w:numId w:val="31"/>
        </w:numPr>
        <w:spacing w:before="120" w:after="120" w:line="240" w:lineRule="auto"/>
        <w:contextualSpacing w:val="0"/>
        <w:jc w:val="both"/>
        <w:rPr>
          <w:rFonts w:eastAsia="Times New Roman" w:cs="Arial"/>
          <w:color w:val="000000"/>
          <w:lang w:val="es-PR"/>
        </w:rPr>
      </w:pPr>
      <w:r w:rsidRPr="00723229">
        <w:rPr>
          <w:rFonts w:eastAsia="Times New Roman" w:cs="Arial"/>
          <w:color w:val="000000"/>
          <w:lang w:val="es-PR"/>
        </w:rPr>
        <w:t xml:space="preserve">Ofrece servicios de representación legal, cuando sea requerido por el Gobernador. </w:t>
      </w:r>
    </w:p>
    <w:p w:rsidR="00242BBB" w:rsidRPr="00723229" w:rsidRDefault="00FE7F03" w:rsidP="00242BBB">
      <w:pPr>
        <w:pStyle w:val="ListParagraph"/>
        <w:numPr>
          <w:ilvl w:val="0"/>
          <w:numId w:val="31"/>
        </w:numPr>
        <w:spacing w:before="120" w:after="120" w:line="240" w:lineRule="auto"/>
        <w:contextualSpacing w:val="0"/>
        <w:jc w:val="both"/>
        <w:rPr>
          <w:rFonts w:eastAsia="Times New Roman" w:cs="Arial"/>
          <w:color w:val="000000"/>
          <w:lang w:val="es-PR"/>
        </w:rPr>
      </w:pPr>
      <w:r w:rsidRPr="00723229">
        <w:rPr>
          <w:rFonts w:eastAsia="Times New Roman" w:cs="Arial"/>
          <w:color w:val="000000"/>
          <w:lang w:val="es-PR"/>
        </w:rPr>
        <w:t>Representa al Gobierno del Estado Libre Asociado de Puerto Rico y funcionarios en toda demanda y proceso civil según dispuesto en la Ley Núm. 9 de 26 de noviembre de 1975.</w:t>
      </w:r>
    </w:p>
    <w:p w:rsidR="00242BBB" w:rsidRPr="00723229" w:rsidRDefault="00242BBB" w:rsidP="00242BBB">
      <w:pPr>
        <w:pStyle w:val="ListParagraph"/>
        <w:numPr>
          <w:ilvl w:val="0"/>
          <w:numId w:val="31"/>
        </w:numPr>
        <w:spacing w:before="120" w:after="120" w:line="240" w:lineRule="auto"/>
        <w:contextualSpacing w:val="0"/>
        <w:jc w:val="both"/>
        <w:rPr>
          <w:rFonts w:eastAsia="Times New Roman" w:cs="Arial"/>
          <w:color w:val="000000"/>
          <w:lang w:val="es-PR"/>
        </w:rPr>
      </w:pPr>
      <w:bookmarkStart w:id="2" w:name="PROG1192"/>
      <w:r w:rsidRPr="00723229">
        <w:rPr>
          <w:rFonts w:eastAsia="Times New Roman" w:cs="Arial"/>
          <w:color w:val="000000"/>
          <w:lang w:val="es-PR"/>
        </w:rPr>
        <w:t xml:space="preserve">Desarrolla técnicas especializadas en el campo de la investigación criminal. </w:t>
      </w:r>
    </w:p>
    <w:p w:rsidR="00BE36A7" w:rsidRPr="00723229" w:rsidRDefault="00242BBB" w:rsidP="00242BBB">
      <w:pPr>
        <w:pStyle w:val="ListParagraph"/>
        <w:numPr>
          <w:ilvl w:val="0"/>
          <w:numId w:val="31"/>
        </w:numPr>
        <w:spacing w:before="120" w:after="120" w:line="240" w:lineRule="auto"/>
        <w:contextualSpacing w:val="0"/>
        <w:jc w:val="both"/>
        <w:rPr>
          <w:rFonts w:eastAsia="Times New Roman" w:cs="Arial"/>
          <w:color w:val="000000"/>
          <w:lang w:val="es-PR"/>
        </w:rPr>
      </w:pPr>
      <w:r w:rsidRPr="00723229">
        <w:rPr>
          <w:rFonts w:eastAsia="Times New Roman" w:cs="Arial"/>
          <w:color w:val="000000"/>
          <w:lang w:val="es-PR"/>
        </w:rPr>
        <w:t xml:space="preserve">Recopila y evalúa la información relacionada con la materia de investigación y seguridad estatal. </w:t>
      </w:r>
    </w:p>
    <w:p w:rsidR="00BE36A7" w:rsidRPr="00723229" w:rsidRDefault="00242BBB" w:rsidP="00242BBB">
      <w:pPr>
        <w:pStyle w:val="ListParagraph"/>
        <w:numPr>
          <w:ilvl w:val="0"/>
          <w:numId w:val="31"/>
        </w:numPr>
        <w:spacing w:before="120" w:after="120" w:line="240" w:lineRule="auto"/>
        <w:contextualSpacing w:val="0"/>
        <w:jc w:val="both"/>
        <w:rPr>
          <w:rFonts w:eastAsia="Times New Roman" w:cs="Arial"/>
          <w:color w:val="000000"/>
          <w:lang w:val="es-PR"/>
        </w:rPr>
      </w:pPr>
      <w:r w:rsidRPr="00723229">
        <w:rPr>
          <w:rFonts w:eastAsia="Times New Roman" w:cs="Arial"/>
          <w:color w:val="000000"/>
          <w:lang w:val="es-PR"/>
        </w:rPr>
        <w:t xml:space="preserve">Combate la corrupción gubernamental, el crimen organizado y actos delictivos relacionados con la función pública. </w:t>
      </w:r>
    </w:p>
    <w:p w:rsidR="00BE36A7" w:rsidRPr="00723229" w:rsidRDefault="00242BBB" w:rsidP="00242BBB">
      <w:pPr>
        <w:pStyle w:val="ListParagraph"/>
        <w:numPr>
          <w:ilvl w:val="0"/>
          <w:numId w:val="31"/>
        </w:numPr>
        <w:spacing w:before="120" w:after="120" w:line="240" w:lineRule="auto"/>
        <w:contextualSpacing w:val="0"/>
        <w:jc w:val="both"/>
        <w:rPr>
          <w:rFonts w:eastAsia="Times New Roman" w:cs="Arial"/>
          <w:color w:val="000000"/>
          <w:lang w:val="es-PR"/>
        </w:rPr>
      </w:pPr>
      <w:r w:rsidRPr="00723229">
        <w:rPr>
          <w:rFonts w:eastAsia="Times New Roman" w:cs="Arial"/>
          <w:color w:val="000000"/>
          <w:lang w:val="es-PR"/>
        </w:rPr>
        <w:t xml:space="preserve">Ofrece albergue a víctimas y testigos de delitos. </w:t>
      </w:r>
    </w:p>
    <w:p w:rsidR="00BF1446" w:rsidRPr="00723229" w:rsidRDefault="00BF1446" w:rsidP="00BF1446">
      <w:pPr>
        <w:pStyle w:val="ListParagraph"/>
        <w:numPr>
          <w:ilvl w:val="0"/>
          <w:numId w:val="31"/>
        </w:numPr>
        <w:spacing w:before="120" w:after="120" w:line="240" w:lineRule="auto"/>
        <w:contextualSpacing w:val="0"/>
        <w:jc w:val="both"/>
        <w:rPr>
          <w:rFonts w:eastAsia="Times New Roman" w:cs="Arial"/>
          <w:color w:val="000000"/>
          <w:lang w:val="es-PR"/>
        </w:rPr>
      </w:pPr>
      <w:bookmarkStart w:id="3" w:name="PROG1190"/>
      <w:r w:rsidRPr="00723229">
        <w:rPr>
          <w:rFonts w:eastAsia="Times New Roman" w:cs="Arial"/>
          <w:color w:val="000000"/>
          <w:lang w:val="es-PR"/>
        </w:rPr>
        <w:t xml:space="preserve">Implanta la política pública establecida en la Ley Núm. 88 de 9 de julio de 1986, según enmendada, conocida como "Ley de Menores de Puerto Rico", la cual impone el deber de investigar y procesar a menores de </w:t>
      </w:r>
      <w:r w:rsidR="00461ACE" w:rsidRPr="00723229">
        <w:rPr>
          <w:rFonts w:eastAsia="Times New Roman" w:cs="Arial"/>
          <w:color w:val="000000"/>
          <w:lang w:val="es-PR"/>
        </w:rPr>
        <w:t>dieciocho (</w:t>
      </w:r>
      <w:r w:rsidRPr="00723229">
        <w:rPr>
          <w:rFonts w:eastAsia="Times New Roman" w:cs="Arial"/>
          <w:color w:val="000000"/>
          <w:lang w:val="es-PR"/>
        </w:rPr>
        <w:t>18</w:t>
      </w:r>
      <w:r w:rsidR="00461ACE" w:rsidRPr="00723229">
        <w:rPr>
          <w:rFonts w:eastAsia="Times New Roman" w:cs="Arial"/>
          <w:color w:val="000000"/>
          <w:lang w:val="es-PR"/>
        </w:rPr>
        <w:t>)</w:t>
      </w:r>
      <w:r w:rsidRPr="00723229">
        <w:rPr>
          <w:rFonts w:eastAsia="Times New Roman" w:cs="Arial"/>
          <w:color w:val="000000"/>
          <w:lang w:val="es-PR"/>
        </w:rPr>
        <w:t xml:space="preserve"> años que incurren en faltas. </w:t>
      </w:r>
    </w:p>
    <w:p w:rsidR="00BF1446" w:rsidRPr="00723229" w:rsidRDefault="00BF1446" w:rsidP="00BF1446">
      <w:pPr>
        <w:pStyle w:val="ListParagraph"/>
        <w:numPr>
          <w:ilvl w:val="0"/>
          <w:numId w:val="31"/>
        </w:numPr>
        <w:spacing w:before="120" w:after="120" w:line="240" w:lineRule="auto"/>
        <w:contextualSpacing w:val="0"/>
        <w:jc w:val="both"/>
        <w:rPr>
          <w:rFonts w:eastAsia="Times New Roman" w:cs="Arial"/>
          <w:color w:val="000000"/>
          <w:lang w:val="es-PR"/>
        </w:rPr>
      </w:pPr>
      <w:r w:rsidRPr="00723229">
        <w:rPr>
          <w:rFonts w:eastAsia="Times New Roman" w:cs="Arial"/>
          <w:color w:val="000000"/>
          <w:lang w:val="es-PR"/>
        </w:rPr>
        <w:t>Representa al Ministerio Público en procedimientos civiles, tales como adopciones, declaraciones de incapacidad, tutela y autorizaciones judiciales relacionadas con los bienes de menores, entre otros.</w:t>
      </w:r>
    </w:p>
    <w:p w:rsidR="00BF1446" w:rsidRPr="00723229" w:rsidRDefault="00BF1446" w:rsidP="00BF1446">
      <w:pPr>
        <w:pStyle w:val="ListParagraph"/>
        <w:numPr>
          <w:ilvl w:val="0"/>
          <w:numId w:val="31"/>
        </w:numPr>
        <w:spacing w:before="120" w:after="120" w:line="240" w:lineRule="auto"/>
        <w:contextualSpacing w:val="0"/>
        <w:jc w:val="both"/>
        <w:rPr>
          <w:rFonts w:eastAsia="Times New Roman" w:cs="Arial"/>
          <w:color w:val="000000"/>
          <w:lang w:val="es-PR"/>
        </w:rPr>
      </w:pPr>
      <w:r w:rsidRPr="00723229">
        <w:rPr>
          <w:rFonts w:eastAsia="Times New Roman" w:cs="Arial"/>
          <w:color w:val="000000"/>
          <w:lang w:val="es-PR"/>
        </w:rPr>
        <w:lastRenderedPageBreak/>
        <w:t xml:space="preserve">Coordina el Programa Justicia va a la Comunidad, en el que se orienta a maestros, padres, estudiantes y grupos comunitarios sobre las funciones del Departamento de Justicia y los servicios que éste ofrece al ciudadano. </w:t>
      </w:r>
    </w:p>
    <w:p w:rsidR="00BF1446" w:rsidRPr="00723229" w:rsidRDefault="00BF1446" w:rsidP="00BF1446">
      <w:pPr>
        <w:pStyle w:val="ListParagraph"/>
        <w:numPr>
          <w:ilvl w:val="0"/>
          <w:numId w:val="31"/>
        </w:numPr>
        <w:spacing w:before="120" w:after="120" w:line="240" w:lineRule="auto"/>
        <w:contextualSpacing w:val="0"/>
        <w:jc w:val="both"/>
        <w:rPr>
          <w:rFonts w:eastAsia="Times New Roman" w:cs="Arial"/>
          <w:color w:val="000000"/>
          <w:lang w:val="es-PR"/>
        </w:rPr>
      </w:pPr>
      <w:r w:rsidRPr="00723229">
        <w:rPr>
          <w:rFonts w:eastAsia="Times New Roman" w:cs="Arial"/>
          <w:color w:val="000000"/>
          <w:lang w:val="es-PR"/>
        </w:rPr>
        <w:t>Además, el Proyecto Televisivo de Circuito Cerrado ofrece servicios en casos en que un tribunal determine que una víctima o testigo menor de 18 años, no debe declarar frente al acusado.</w:t>
      </w:r>
      <w:r w:rsidRPr="00723229">
        <w:rPr>
          <w:rFonts w:eastAsia="Times New Roman" w:cs="Arial"/>
          <w:color w:val="000000"/>
          <w:lang w:val="es-PR"/>
        </w:rPr>
        <w:br/>
      </w:r>
    </w:p>
    <w:p w:rsidR="00BF1446" w:rsidRPr="00723229" w:rsidRDefault="00BF1446" w:rsidP="00BF1446">
      <w:pPr>
        <w:pStyle w:val="ListParagraph"/>
        <w:numPr>
          <w:ilvl w:val="0"/>
          <w:numId w:val="31"/>
        </w:numPr>
        <w:spacing w:before="120" w:after="120" w:line="240" w:lineRule="auto"/>
        <w:contextualSpacing w:val="0"/>
        <w:jc w:val="both"/>
        <w:rPr>
          <w:rFonts w:eastAsia="Times New Roman" w:cs="Arial"/>
          <w:color w:val="000000"/>
          <w:lang w:val="es-PR"/>
        </w:rPr>
      </w:pPr>
      <w:bookmarkStart w:id="4" w:name="PROG1191"/>
      <w:bookmarkEnd w:id="3"/>
      <w:r w:rsidRPr="00723229">
        <w:rPr>
          <w:rFonts w:eastAsia="Times New Roman" w:cs="Arial"/>
          <w:color w:val="000000"/>
          <w:lang w:val="es-PR"/>
        </w:rPr>
        <w:t xml:space="preserve">Investiga y procesa los hechos contrarios a la ley que constituyen un delito. </w:t>
      </w:r>
    </w:p>
    <w:p w:rsidR="00BF1446" w:rsidRPr="00723229" w:rsidRDefault="00BF1446" w:rsidP="00BF1446">
      <w:pPr>
        <w:pStyle w:val="ListParagraph"/>
        <w:numPr>
          <w:ilvl w:val="0"/>
          <w:numId w:val="31"/>
        </w:numPr>
        <w:spacing w:before="120" w:after="120" w:line="240" w:lineRule="auto"/>
        <w:contextualSpacing w:val="0"/>
        <w:jc w:val="both"/>
        <w:rPr>
          <w:rFonts w:eastAsia="Times New Roman" w:cs="Arial"/>
          <w:color w:val="000000"/>
          <w:lang w:val="es-PR"/>
        </w:rPr>
      </w:pPr>
      <w:r w:rsidRPr="00723229">
        <w:rPr>
          <w:rFonts w:eastAsia="Times New Roman" w:cs="Arial"/>
          <w:color w:val="000000"/>
          <w:lang w:val="es-PR"/>
        </w:rPr>
        <w:t xml:space="preserve">Representa al Pueblo de Puerto Rico ante los tribunales en procesos de naturaleza criminal. </w:t>
      </w:r>
    </w:p>
    <w:p w:rsidR="00BF1446" w:rsidRPr="00723229" w:rsidRDefault="00BF1446" w:rsidP="00BF1446">
      <w:pPr>
        <w:pStyle w:val="ListParagraph"/>
        <w:numPr>
          <w:ilvl w:val="0"/>
          <w:numId w:val="31"/>
        </w:numPr>
        <w:spacing w:before="120" w:after="120" w:line="240" w:lineRule="auto"/>
        <w:contextualSpacing w:val="0"/>
        <w:jc w:val="both"/>
        <w:rPr>
          <w:rFonts w:eastAsia="Times New Roman" w:cs="Arial"/>
          <w:color w:val="000000"/>
          <w:lang w:val="es-PR"/>
        </w:rPr>
      </w:pPr>
      <w:r w:rsidRPr="00723229">
        <w:rPr>
          <w:rFonts w:eastAsia="Times New Roman" w:cs="Arial"/>
          <w:color w:val="000000"/>
          <w:lang w:val="es-PR"/>
        </w:rPr>
        <w:t xml:space="preserve">Provee protección y otros servicios a víctimas y testigos del crimen y extradita fugitivos. </w:t>
      </w:r>
    </w:p>
    <w:p w:rsidR="00BF1446" w:rsidRPr="00723229" w:rsidRDefault="00BF1446" w:rsidP="00BF1446">
      <w:pPr>
        <w:pStyle w:val="ListParagraph"/>
        <w:numPr>
          <w:ilvl w:val="0"/>
          <w:numId w:val="31"/>
        </w:numPr>
        <w:spacing w:before="120" w:after="120" w:line="240" w:lineRule="auto"/>
        <w:contextualSpacing w:val="0"/>
        <w:jc w:val="both"/>
        <w:rPr>
          <w:rFonts w:eastAsia="Times New Roman" w:cs="Arial"/>
          <w:color w:val="000000"/>
          <w:lang w:val="es-PR"/>
        </w:rPr>
      </w:pPr>
      <w:r w:rsidRPr="00723229">
        <w:rPr>
          <w:rFonts w:eastAsia="Times New Roman" w:cs="Arial"/>
          <w:color w:val="000000"/>
          <w:lang w:val="es-PR"/>
        </w:rPr>
        <w:t>Desarrolla y participa en proyectos dirigidos a prevenir actos delictivos, tales como: Salas de Cortes de Drogas y otros proyectos de prevención en el área de violencia contra la mujer.</w:t>
      </w:r>
    </w:p>
    <w:p w:rsidR="00BF1446" w:rsidRPr="00723229" w:rsidRDefault="00BF1446" w:rsidP="00BF1446">
      <w:pPr>
        <w:pStyle w:val="ListParagraph"/>
        <w:numPr>
          <w:ilvl w:val="0"/>
          <w:numId w:val="31"/>
        </w:numPr>
        <w:spacing w:before="120" w:after="120" w:line="240" w:lineRule="auto"/>
        <w:contextualSpacing w:val="0"/>
        <w:jc w:val="both"/>
        <w:rPr>
          <w:rFonts w:eastAsia="Times New Roman" w:cs="Arial"/>
          <w:color w:val="000000"/>
          <w:lang w:val="es-PR"/>
        </w:rPr>
      </w:pPr>
      <w:bookmarkStart w:id="5" w:name="PROG1609"/>
      <w:bookmarkEnd w:id="4"/>
      <w:r w:rsidRPr="00723229">
        <w:rPr>
          <w:rFonts w:eastAsia="Times New Roman" w:cs="Arial"/>
          <w:color w:val="000000"/>
          <w:lang w:val="es-PR"/>
        </w:rPr>
        <w:t xml:space="preserve">Autoriza y concede el pago de una compensación a víctimas que, como consecuencia directa de los delitos enumerados en la Ley Habilitadora, se afecten o sufran un daño corporal, enfermedad o muerte. </w:t>
      </w:r>
    </w:p>
    <w:p w:rsidR="00BF1446" w:rsidRPr="00723229" w:rsidRDefault="00BF1446" w:rsidP="00BF1446">
      <w:pPr>
        <w:pStyle w:val="ListParagraph"/>
        <w:numPr>
          <w:ilvl w:val="0"/>
          <w:numId w:val="31"/>
        </w:numPr>
        <w:spacing w:before="120" w:after="120" w:line="240" w:lineRule="auto"/>
        <w:contextualSpacing w:val="0"/>
        <w:jc w:val="both"/>
        <w:rPr>
          <w:rFonts w:eastAsia="Times New Roman" w:cs="Arial"/>
          <w:color w:val="000000"/>
          <w:lang w:val="es-PR"/>
        </w:rPr>
      </w:pPr>
      <w:r w:rsidRPr="00723229">
        <w:rPr>
          <w:rFonts w:eastAsia="Times New Roman" w:cs="Arial"/>
          <w:color w:val="000000"/>
          <w:lang w:val="es-PR"/>
        </w:rPr>
        <w:t xml:space="preserve">Concede beneficios a aquellas personas que sufran daño o mueran, como resultado de un ataque al evitar la comisión de un delito, al apresar o tratar de apresar un sospechoso de la comisión de un delito o ayudar a un funcionario de orden público a llevar a cabo un arresto. </w:t>
      </w:r>
    </w:p>
    <w:p w:rsidR="00BF1446" w:rsidRPr="00723229" w:rsidRDefault="00BF1446" w:rsidP="00BF1446">
      <w:pPr>
        <w:pStyle w:val="ListParagraph"/>
        <w:numPr>
          <w:ilvl w:val="0"/>
          <w:numId w:val="31"/>
        </w:numPr>
        <w:spacing w:before="120" w:after="120" w:line="240" w:lineRule="auto"/>
        <w:contextualSpacing w:val="0"/>
        <w:jc w:val="both"/>
        <w:rPr>
          <w:rFonts w:eastAsia="Times New Roman" w:cs="Arial"/>
          <w:color w:val="000000"/>
          <w:lang w:val="es-PR"/>
        </w:rPr>
      </w:pPr>
      <w:bookmarkStart w:id="6" w:name="PROG1227"/>
      <w:bookmarkEnd w:id="5"/>
      <w:r w:rsidRPr="00723229">
        <w:rPr>
          <w:rFonts w:eastAsia="Times New Roman" w:cs="Arial"/>
          <w:color w:val="000000"/>
          <w:lang w:val="es-PR"/>
        </w:rPr>
        <w:t>Inscribe los actos y contratos relativos a los bienes inmuebles, mediante un sistema de publicidad de títulos. El mismo contiene las adjudicaciones, modificaciones y extensiones del dominio, derechos reales anotables sobre ellos, así como las resoluciones judiciales que afecten la capacidad de los titulares.</w:t>
      </w:r>
    </w:p>
    <w:p w:rsidR="00BF1446" w:rsidRPr="00723229" w:rsidRDefault="00BF1446" w:rsidP="00BF1446">
      <w:pPr>
        <w:pStyle w:val="ListParagraph"/>
        <w:numPr>
          <w:ilvl w:val="0"/>
          <w:numId w:val="31"/>
        </w:numPr>
        <w:spacing w:before="120" w:after="120" w:line="240" w:lineRule="auto"/>
        <w:contextualSpacing w:val="0"/>
        <w:jc w:val="both"/>
        <w:rPr>
          <w:rFonts w:eastAsia="Times New Roman" w:cs="Arial"/>
          <w:color w:val="000000"/>
          <w:lang w:val="es-PR"/>
        </w:rPr>
      </w:pPr>
      <w:bookmarkStart w:id="7" w:name="PROG1228"/>
      <w:bookmarkEnd w:id="6"/>
      <w:r w:rsidRPr="00723229">
        <w:rPr>
          <w:rFonts w:eastAsia="Times New Roman" w:cs="Arial"/>
          <w:color w:val="000000"/>
          <w:lang w:val="es-PR"/>
        </w:rPr>
        <w:t>Determina prácticas que conlleva restricciones al libre comercio y propendan a la indebida concentración del poder económico. Por ello, debe eliminar al máximo aquellas prácticas o condiciones que mermen la capacidad competitiva de cualquier entidad natural o jurídica dentro del sistema económico. Entre sus funciones básicas se destacan: detectar y restringir prácticas monopolísticas, mediante estudios económicos y jurídicos sobre los distintos mercados e industrias, preparar y promulgar reglamentos conducentes a regular algunas prácticas económicas, atender consultas en casos de fusiones y adquisiciones de tipo comercial, entre otros. Además, representa al Gobierno de Puerto Rico ante los tribunales estatales y federales, en casos relacionados con prácticas monopolísticas.</w:t>
      </w:r>
    </w:p>
    <w:p w:rsidR="00BF1446" w:rsidRPr="00723229" w:rsidRDefault="00BF1446" w:rsidP="00BF1446">
      <w:pPr>
        <w:pStyle w:val="ListParagraph"/>
        <w:numPr>
          <w:ilvl w:val="0"/>
          <w:numId w:val="31"/>
        </w:numPr>
        <w:spacing w:before="120" w:after="120" w:line="240" w:lineRule="auto"/>
        <w:contextualSpacing w:val="0"/>
        <w:jc w:val="both"/>
        <w:rPr>
          <w:rFonts w:eastAsia="Times New Roman" w:cs="Arial"/>
          <w:color w:val="000000"/>
          <w:lang w:val="es-PR"/>
        </w:rPr>
      </w:pPr>
      <w:bookmarkStart w:id="8" w:name="PROG2012"/>
      <w:bookmarkEnd w:id="7"/>
      <w:r w:rsidRPr="00723229">
        <w:rPr>
          <w:rFonts w:eastAsia="Times New Roman" w:cs="Arial"/>
          <w:color w:val="000000"/>
          <w:lang w:val="es-PR"/>
        </w:rPr>
        <w:t xml:space="preserve">Recopila y mantiene la información disponible sobre el historial de personas que son encausadas y convictas por la comisión de delitos graves en un sistema de información, </w:t>
      </w:r>
    </w:p>
    <w:p w:rsidR="00FE7F03" w:rsidRDefault="00BF1446" w:rsidP="00BF1446">
      <w:pPr>
        <w:pStyle w:val="ListParagraph"/>
        <w:numPr>
          <w:ilvl w:val="0"/>
          <w:numId w:val="31"/>
        </w:numPr>
        <w:spacing w:before="120" w:after="120" w:line="240" w:lineRule="auto"/>
        <w:contextualSpacing w:val="0"/>
        <w:jc w:val="both"/>
        <w:rPr>
          <w:rFonts w:eastAsia="Times New Roman" w:cs="Arial"/>
          <w:color w:val="000000"/>
          <w:lang w:val="es-PR"/>
        </w:rPr>
      </w:pPr>
      <w:r w:rsidRPr="00723229">
        <w:rPr>
          <w:rFonts w:eastAsia="Times New Roman" w:cs="Arial"/>
          <w:color w:val="000000"/>
          <w:lang w:val="es-PR"/>
        </w:rPr>
        <w:t>Provee acceso y facilidades de comunicación a las agencias de ley y orden, municipales, estatales y federales para la obtención de información criminal detallada, precisa y a tiempo, sobre personas y eventos relacionados con el proceso criminal en Puerto Rico como en toda jurisdicción y estados de los Estados Unidos.</w:t>
      </w:r>
      <w:bookmarkEnd w:id="2"/>
      <w:bookmarkEnd w:id="8"/>
    </w:p>
    <w:p w:rsidR="004A66C8" w:rsidRPr="004A66C8" w:rsidRDefault="004A66C8" w:rsidP="004A66C8">
      <w:pPr>
        <w:pStyle w:val="ListParagraph"/>
        <w:numPr>
          <w:ilvl w:val="0"/>
          <w:numId w:val="31"/>
        </w:numPr>
        <w:spacing w:before="120" w:after="120" w:line="240" w:lineRule="auto"/>
        <w:contextualSpacing w:val="0"/>
        <w:jc w:val="both"/>
        <w:rPr>
          <w:rFonts w:asciiTheme="minorHAnsi" w:eastAsia="Times New Roman" w:hAnsiTheme="minorHAnsi" w:cstheme="minorHAnsi"/>
          <w:color w:val="000000"/>
          <w:lang w:val="es-PR"/>
        </w:rPr>
      </w:pPr>
      <w:r w:rsidRPr="004A66C8">
        <w:rPr>
          <w:rFonts w:asciiTheme="minorHAnsi" w:hAnsiTheme="minorHAnsi" w:cstheme="minorHAnsi"/>
        </w:rPr>
        <w:t xml:space="preserve">Registro de la Propiedad es una dependencia del Departamento de Justicia cuya función principal es la inscripción o anotación de las transacciones relacionadas a los bienes inmuebles del país y sobre los derechos que afectan dichos bienes. Su función principal es indicar la </w:t>
      </w:r>
      <w:r w:rsidRPr="004A66C8">
        <w:rPr>
          <w:rFonts w:asciiTheme="minorHAnsi" w:hAnsiTheme="minorHAnsi" w:cstheme="minorHAnsi"/>
        </w:rPr>
        <w:lastRenderedPageBreak/>
        <w:t>procedencia de los títulos de dichos bienes y dar constancia de las transacciones a los dueños de cada título. El Registro de Propiedad realiza otras funciones, como:</w:t>
      </w:r>
    </w:p>
    <w:p w:rsidR="004A66C8" w:rsidRPr="004A66C8" w:rsidRDefault="004A66C8" w:rsidP="004A66C8">
      <w:pPr>
        <w:pStyle w:val="ListParagraph"/>
        <w:numPr>
          <w:ilvl w:val="1"/>
          <w:numId w:val="31"/>
        </w:numPr>
        <w:spacing w:before="120" w:after="120" w:line="240" w:lineRule="auto"/>
        <w:contextualSpacing w:val="0"/>
        <w:jc w:val="both"/>
        <w:rPr>
          <w:rFonts w:asciiTheme="minorHAnsi" w:eastAsia="Times New Roman" w:hAnsiTheme="minorHAnsi" w:cstheme="minorHAnsi"/>
          <w:color w:val="000000"/>
          <w:lang w:val="es-PR"/>
        </w:rPr>
      </w:pPr>
      <w:r w:rsidRPr="004A66C8">
        <w:rPr>
          <w:rFonts w:asciiTheme="minorHAnsi" w:hAnsiTheme="minorHAnsi" w:cstheme="minorHAnsi"/>
        </w:rPr>
        <w:t>Anotar los derechos personales (embargos y prohibiciones contra la disposición de propiedad)</w:t>
      </w:r>
    </w:p>
    <w:p w:rsidR="004A66C8" w:rsidRPr="004A66C8" w:rsidRDefault="004A66C8" w:rsidP="004A66C8">
      <w:pPr>
        <w:pStyle w:val="ListParagraph"/>
        <w:numPr>
          <w:ilvl w:val="1"/>
          <w:numId w:val="31"/>
        </w:numPr>
        <w:spacing w:before="120" w:after="120" w:line="240" w:lineRule="auto"/>
        <w:contextualSpacing w:val="0"/>
        <w:jc w:val="both"/>
        <w:rPr>
          <w:rFonts w:asciiTheme="minorHAnsi" w:eastAsia="Times New Roman" w:hAnsiTheme="minorHAnsi" w:cstheme="minorHAnsi"/>
          <w:color w:val="000000"/>
          <w:lang w:val="es-PR"/>
        </w:rPr>
      </w:pPr>
      <w:r w:rsidRPr="004A66C8">
        <w:rPr>
          <w:rFonts w:asciiTheme="minorHAnsi" w:hAnsiTheme="minorHAnsi" w:cstheme="minorHAnsi"/>
          <w:lang w:val="es-PR"/>
        </w:rPr>
        <w:t>Inscribir hipotecas sobre bienes muebles, contratos de refacción industrial y agrícola y los de las sociedades mercantiles.</w:t>
      </w:r>
    </w:p>
    <w:p w:rsidR="00FE7F03" w:rsidRPr="00CB1B23" w:rsidRDefault="004A66C8" w:rsidP="00242BBB">
      <w:pPr>
        <w:pStyle w:val="ListParagraph"/>
        <w:numPr>
          <w:ilvl w:val="1"/>
          <w:numId w:val="31"/>
        </w:numPr>
        <w:spacing w:before="120" w:after="120" w:line="240" w:lineRule="auto"/>
        <w:contextualSpacing w:val="0"/>
        <w:jc w:val="both"/>
        <w:rPr>
          <w:rFonts w:asciiTheme="minorHAnsi" w:eastAsia="Times New Roman" w:hAnsiTheme="minorHAnsi" w:cstheme="minorHAnsi"/>
          <w:color w:val="000000"/>
          <w:lang w:val="es-PR"/>
        </w:rPr>
      </w:pPr>
      <w:r w:rsidRPr="004A66C8">
        <w:rPr>
          <w:rFonts w:asciiTheme="minorHAnsi" w:hAnsiTheme="minorHAnsi" w:cstheme="minorHAnsi"/>
          <w:lang w:val="es-PR"/>
        </w:rPr>
        <w:t>Protege y garantiza el derecho de propiedad o dominio y otros derechos reales sobre los bienes inmuebles y algunos bienes muebles.</w:t>
      </w:r>
      <w:bookmarkEnd w:id="1"/>
    </w:p>
    <w:p w:rsidR="00CB1B23" w:rsidRPr="00CB1B23" w:rsidRDefault="002E0FA0" w:rsidP="00CB1B23">
      <w:pPr>
        <w:spacing w:before="120" w:after="120" w:line="240" w:lineRule="auto"/>
        <w:ind w:left="2160"/>
        <w:jc w:val="both"/>
        <w:rPr>
          <w:rFonts w:asciiTheme="minorHAnsi" w:eastAsia="Times New Roman" w:hAnsiTheme="minorHAnsi" w:cstheme="minorHAnsi"/>
          <w:color w:val="000000"/>
          <w:lang w:val="es-PR"/>
        </w:rPr>
      </w:pPr>
      <w:hyperlink r:id="rId16" w:history="1">
        <w:r w:rsidR="00CB1B23" w:rsidRPr="00CB1B23">
          <w:rPr>
            <w:rStyle w:val="Hyperlink"/>
            <w:rFonts w:asciiTheme="minorHAnsi" w:eastAsia="Times New Roman" w:hAnsiTheme="minorHAnsi" w:cstheme="minorHAnsi"/>
            <w:lang w:val="es-PR"/>
          </w:rPr>
          <w:t>Directorio Registro de la Propiedad</w:t>
        </w:r>
      </w:hyperlink>
    </w:p>
    <w:p w:rsidR="009B0563" w:rsidRPr="00723229" w:rsidRDefault="009B0563" w:rsidP="00C96C9B">
      <w:pPr>
        <w:spacing w:before="120" w:after="120" w:line="240" w:lineRule="auto"/>
        <w:jc w:val="both"/>
        <w:rPr>
          <w:rFonts w:eastAsia="Times New Roman" w:cs="Arial"/>
          <w:color w:val="000000"/>
          <w:lang w:val="es-PR"/>
        </w:rPr>
      </w:pPr>
      <w:r w:rsidRPr="00723229">
        <w:rPr>
          <w:rFonts w:eastAsia="Times New Roman" w:cs="Arial"/>
          <w:color w:val="000000"/>
          <w:lang w:val="es-PR"/>
        </w:rPr>
        <w:t>Esta Agencia agrupa:</w:t>
      </w:r>
    </w:p>
    <w:p w:rsidR="009B0563" w:rsidRPr="00723229" w:rsidRDefault="009B0563" w:rsidP="00C96C9B">
      <w:pPr>
        <w:spacing w:before="120" w:after="120" w:line="240" w:lineRule="auto"/>
        <w:jc w:val="both"/>
        <w:rPr>
          <w:rFonts w:eastAsia="Times New Roman" w:cs="Arial"/>
          <w:color w:val="000000"/>
          <w:lang w:val="es-PR"/>
        </w:rPr>
        <w:sectPr w:rsidR="009B0563" w:rsidRPr="00723229" w:rsidSect="0049566C">
          <w:headerReference w:type="even" r:id="rId17"/>
          <w:headerReference w:type="default" r:id="rId18"/>
          <w:footerReference w:type="even" r:id="rId19"/>
          <w:footerReference w:type="default" r:id="rId20"/>
          <w:headerReference w:type="first" r:id="rId21"/>
          <w:footerReference w:type="first" r:id="rId22"/>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20"/>
          <w:docGrid w:linePitch="360"/>
        </w:sectPr>
      </w:pPr>
    </w:p>
    <w:p w:rsidR="00D15921" w:rsidRPr="00723229" w:rsidRDefault="002E0FA0" w:rsidP="00C96C9B">
      <w:pPr>
        <w:spacing w:before="120" w:after="120" w:line="240" w:lineRule="auto"/>
        <w:jc w:val="both"/>
        <w:rPr>
          <w:rFonts w:eastAsia="Times New Roman" w:cs="Arial"/>
          <w:color w:val="000000"/>
          <w:lang w:val="es-PR"/>
        </w:rPr>
      </w:pPr>
      <w:hyperlink r:id="rId23" w:history="1">
        <w:r w:rsidR="009B0563" w:rsidRPr="00723229">
          <w:rPr>
            <w:rStyle w:val="Hyperlink"/>
            <w:rFonts w:eastAsia="Times New Roman" w:cs="Arial"/>
            <w:lang w:val="es-PR"/>
          </w:rPr>
          <w:t>Sistema de Información de Justicia Criminal (SIJC)</w:t>
        </w:r>
      </w:hyperlink>
      <w:r w:rsidR="009B0563" w:rsidRPr="00723229">
        <w:rPr>
          <w:rFonts w:eastAsia="Times New Roman" w:cs="Arial"/>
          <w:color w:val="000000"/>
          <w:lang w:val="es-PR"/>
        </w:rPr>
        <w:t xml:space="preserve"> –</w:t>
      </w:r>
      <w:r w:rsidR="00D15921" w:rsidRPr="00723229">
        <w:rPr>
          <w:rFonts w:eastAsia="Times New Roman" w:cs="Arial"/>
          <w:color w:val="000000"/>
          <w:lang w:val="es-PR"/>
        </w:rPr>
        <w:t xml:space="preserve"> </w:t>
      </w:r>
      <w:r w:rsidR="00D15921" w:rsidRPr="00723229">
        <w:rPr>
          <w:rFonts w:eastAsia="Times New Roman" w:cs="Arial"/>
          <w:b/>
          <w:color w:val="000000"/>
          <w:highlight w:val="yellow"/>
          <w:lang w:val="es-PR"/>
        </w:rPr>
        <w:t>AGENCIA NO INTEGRADA</w:t>
      </w:r>
    </w:p>
    <w:p w:rsidR="00D15921" w:rsidRPr="00723229" w:rsidRDefault="00D15921" w:rsidP="00C96C9B">
      <w:pPr>
        <w:spacing w:before="120" w:after="120" w:line="240" w:lineRule="auto"/>
        <w:jc w:val="both"/>
        <w:rPr>
          <w:rFonts w:eastAsia="Times New Roman" w:cs="Arial"/>
          <w:color w:val="000000"/>
          <w:lang w:val="es-PR"/>
        </w:rPr>
      </w:pPr>
      <w:r w:rsidRPr="00723229">
        <w:rPr>
          <w:rFonts w:asciiTheme="minorHAnsi" w:hAnsiTheme="minorHAnsi" w:cs="Arial"/>
          <w:noProof/>
          <w:color w:val="000000"/>
          <w:lang w:val="es-PR"/>
        </w:rPr>
        <w:t>El Sistema de Información de Justicia Criminal (SIJC) tiene la misión de reducir la actividad criminal maximizando la habilidad de proveer información relevante de justicia criminal completa, precisa y a tiempo a todas las agencias cualificadas de ley y orden, de justicia criminal, civiles, académicas y de empleo y licenciamiento; concernientes a individuos, organizaciones y actividades de tipo criminal. Provee además, cualquier otra información disponible relacionada con el cumplimiento de las leyes.</w:t>
      </w:r>
    </w:p>
    <w:p w:rsidR="00D15921" w:rsidRPr="00723229" w:rsidRDefault="002E0FA0" w:rsidP="00C96C9B">
      <w:pPr>
        <w:spacing w:before="120" w:after="120" w:line="240" w:lineRule="auto"/>
        <w:jc w:val="both"/>
        <w:rPr>
          <w:rFonts w:eastAsia="Times New Roman" w:cs="Arial"/>
          <w:color w:val="000000"/>
          <w:lang w:val="es-PR"/>
        </w:rPr>
      </w:pPr>
      <w:hyperlink r:id="rId24" w:history="1">
        <w:r w:rsidR="00D15921" w:rsidRPr="00723229">
          <w:rPr>
            <w:rStyle w:val="Hyperlink"/>
            <w:rFonts w:eastAsia="Times New Roman" w:cs="Arial"/>
            <w:lang w:val="es-PR"/>
          </w:rPr>
          <w:t>Oficina del Procurador General (OPG)</w:t>
        </w:r>
      </w:hyperlink>
      <w:r w:rsidR="00D15921" w:rsidRPr="00723229">
        <w:rPr>
          <w:rFonts w:eastAsia="Times New Roman" w:cs="Arial"/>
          <w:color w:val="000000"/>
          <w:lang w:val="es-PR"/>
        </w:rPr>
        <w:t xml:space="preserve"> – </w:t>
      </w:r>
      <w:r w:rsidR="00D15921" w:rsidRPr="00723229">
        <w:rPr>
          <w:rFonts w:eastAsia="Times New Roman" w:cs="Arial"/>
          <w:b/>
          <w:color w:val="000000"/>
          <w:highlight w:val="yellow"/>
          <w:lang w:val="es-PR"/>
        </w:rPr>
        <w:t>AGENCIA NO INTEGRADA</w:t>
      </w:r>
    </w:p>
    <w:p w:rsidR="00D15921" w:rsidRDefault="00D15921" w:rsidP="00C96C9B">
      <w:pPr>
        <w:spacing w:before="120" w:after="120" w:line="240" w:lineRule="auto"/>
        <w:jc w:val="both"/>
        <w:rPr>
          <w:rFonts w:asciiTheme="minorHAnsi" w:eastAsia="Times New Roman" w:hAnsiTheme="minorHAnsi" w:cstheme="minorHAnsi"/>
          <w:color w:val="000000"/>
          <w:lang w:val="es-PR" w:eastAsia="es-ES_tradnl"/>
        </w:rPr>
      </w:pPr>
      <w:r w:rsidRPr="00723229">
        <w:rPr>
          <w:rFonts w:asciiTheme="minorHAnsi" w:eastAsia="Times New Roman" w:hAnsiTheme="minorHAnsi" w:cstheme="minorHAnsi"/>
          <w:color w:val="000000"/>
          <w:lang w:val="es-PR" w:eastAsia="es-ES_tradnl"/>
        </w:rPr>
        <w:t>El Procurador General es el funcionario que representa al Estado ante los tribunales de más alta jerarquía, quien también ostenta la función de uniformar las posturas del Estado ante los altos foros judiciales.</w:t>
      </w:r>
    </w:p>
    <w:tbl>
      <w:tblPr>
        <w:tblStyle w:val="TableGrid"/>
        <w:tblW w:w="0" w:type="auto"/>
        <w:tblInd w:w="-702" w:type="dxa"/>
        <w:tblLayout w:type="fixed"/>
        <w:tblLook w:val="04A0" w:firstRow="1" w:lastRow="0" w:firstColumn="1" w:lastColumn="0" w:noHBand="0" w:noVBand="1"/>
      </w:tblPr>
      <w:tblGrid>
        <w:gridCol w:w="810"/>
        <w:gridCol w:w="9468"/>
      </w:tblGrid>
      <w:tr w:rsidR="009A402D" w:rsidRPr="007E031A" w:rsidTr="008E3F66">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A402D" w:rsidRDefault="009A402D" w:rsidP="008E3F66">
            <w:pPr>
              <w:pStyle w:val="NormalWeb"/>
              <w:rPr>
                <w:rFonts w:ascii="Verdana" w:hAnsi="Verdana" w:cs="Arial"/>
                <w:color w:val="000000"/>
                <w:sz w:val="20"/>
                <w:szCs w:val="20"/>
                <w:lang w:val="es-PR"/>
              </w:rPr>
            </w:pPr>
            <w:r>
              <w:rPr>
                <w:rFonts w:ascii="Verdana" w:hAnsi="Verdana" w:cs="Arial"/>
                <w:noProof/>
                <w:color w:val="000000"/>
                <w:sz w:val="20"/>
                <w:szCs w:val="20"/>
                <w:lang w:val="en-US"/>
              </w:rPr>
              <w:drawing>
                <wp:inline distT="0" distB="0" distL="0" distR="0" wp14:anchorId="674D39C2" wp14:editId="18ADA98F">
                  <wp:extent cx="274955" cy="278130"/>
                  <wp:effectExtent l="19050" t="0" r="0" b="0"/>
                  <wp:docPr id="3"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5" cstate="print"/>
                          <a:srcRect/>
                          <a:stretch>
                            <a:fillRect/>
                          </a:stretch>
                        </pic:blipFill>
                        <pic:spPr bwMode="auto">
                          <a:xfrm>
                            <a:off x="0" y="0"/>
                            <a:ext cx="274955" cy="278130"/>
                          </a:xfrm>
                          <a:prstGeom prst="rect">
                            <a:avLst/>
                          </a:prstGeom>
                          <a:noFill/>
                          <a:ln w="9525">
                            <a:noFill/>
                            <a:miter lim="800000"/>
                            <a:headEnd/>
                            <a:tailEnd/>
                          </a:ln>
                        </pic:spPr>
                      </pic:pic>
                    </a:graphicData>
                  </a:graphic>
                </wp:inline>
              </w:drawing>
            </w:r>
            <w:r>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9A402D" w:rsidRPr="00591CEE" w:rsidRDefault="009A402D" w:rsidP="008E3F66">
            <w:pPr>
              <w:rPr>
                <w:b/>
                <w:sz w:val="28"/>
                <w:szCs w:val="28"/>
                <w:lang w:val="es-PR"/>
              </w:rPr>
            </w:pPr>
            <w:r>
              <w:rPr>
                <w:b/>
                <w:sz w:val="28"/>
                <w:szCs w:val="28"/>
                <w:lang w:val="es-PR"/>
              </w:rPr>
              <w:t>Enlaces Relacionados</w:t>
            </w:r>
          </w:p>
        </w:tc>
      </w:tr>
    </w:tbl>
    <w:p w:rsidR="009A402D" w:rsidRPr="00723229" w:rsidRDefault="002E0FA0" w:rsidP="00A25135">
      <w:pPr>
        <w:spacing w:before="120" w:after="120" w:line="240" w:lineRule="auto"/>
        <w:rPr>
          <w:rFonts w:eastAsia="Times New Roman" w:cs="Arial"/>
          <w:color w:val="000000"/>
          <w:lang w:val="es-PR"/>
        </w:rPr>
      </w:pPr>
      <w:hyperlink r:id="rId26" w:history="1">
        <w:r w:rsidR="009A402D" w:rsidRPr="009A402D">
          <w:rPr>
            <w:rStyle w:val="Hyperlink"/>
            <w:rFonts w:eastAsia="Times New Roman" w:cs="Arial"/>
            <w:lang w:val="es-PR"/>
          </w:rPr>
          <w:t>Página Web DJ</w:t>
        </w:r>
      </w:hyperlink>
      <w:r w:rsidR="009A402D">
        <w:rPr>
          <w:rFonts w:eastAsia="Times New Roman" w:cs="Arial"/>
          <w:color w:val="000000"/>
          <w:lang w:val="es-PR"/>
        </w:rPr>
        <w:t xml:space="preserve"> - </w:t>
      </w:r>
      <w:r w:rsidR="009A402D" w:rsidRPr="009A402D">
        <w:rPr>
          <w:rFonts w:eastAsia="Times New Roman" w:cs="Arial"/>
          <w:color w:val="000000"/>
          <w:lang w:val="es-PR"/>
        </w:rPr>
        <w:t>http://www.justicia.pr.gov/</w:t>
      </w:r>
    </w:p>
    <w:sectPr w:rsidR="009A402D" w:rsidRPr="00723229" w:rsidSect="0049566C">
      <w:headerReference w:type="default" r:id="rId27"/>
      <w:footerReference w:type="default" r:id="rId28"/>
      <w:type w:val="continuous"/>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21" w:rsidRDefault="00D15921" w:rsidP="005501A9">
      <w:pPr>
        <w:spacing w:after="0" w:line="240" w:lineRule="auto"/>
      </w:pPr>
      <w:r>
        <w:separator/>
      </w:r>
    </w:p>
  </w:endnote>
  <w:endnote w:type="continuationSeparator" w:id="0">
    <w:p w:rsidR="00D15921" w:rsidRDefault="00D15921"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BCB" w:rsidRDefault="00463B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D15921" w:rsidRPr="00A625BF" w:rsidTr="00A625BF">
      <w:tc>
        <w:tcPr>
          <w:tcW w:w="2394" w:type="dxa"/>
          <w:shd w:val="clear" w:color="auto" w:fill="FFFFFF" w:themeFill="background1"/>
          <w:vAlign w:val="center"/>
        </w:tcPr>
        <w:p w:rsidR="00D15921" w:rsidRPr="00A625BF" w:rsidRDefault="00D15921" w:rsidP="00A625BF">
          <w:pPr>
            <w:pStyle w:val="Footer"/>
            <w:jc w:val="center"/>
            <w:rPr>
              <w:rFonts w:asciiTheme="minorHAnsi" w:eastAsiaTheme="minorHAnsi" w:hAnsiTheme="minorHAnsi" w:cstheme="minorBidi"/>
            </w:rPr>
          </w:pPr>
          <w:r>
            <w:rPr>
              <w:rFonts w:asciiTheme="minorHAnsi" w:eastAsiaTheme="minorHAnsi" w:hAnsiTheme="minorHAnsi" w:cstheme="minorBidi"/>
              <w:noProof/>
              <w:lang w:val="en-US"/>
            </w:rPr>
            <w:drawing>
              <wp:anchor distT="0" distB="0" distL="114300" distR="114300" simplePos="0" relativeHeight="251999232" behindDoc="0" locked="0" layoutInCell="1" allowOverlap="1" wp14:anchorId="7C11AF08" wp14:editId="4D74D265">
                <wp:simplePos x="0" y="0"/>
                <wp:positionH relativeFrom="column">
                  <wp:posOffset>-457200</wp:posOffset>
                </wp:positionH>
                <wp:positionV relativeFrom="paragraph">
                  <wp:posOffset>116205</wp:posOffset>
                </wp:positionV>
                <wp:extent cx="333375" cy="259715"/>
                <wp:effectExtent l="0" t="0" r="9525" b="6985"/>
                <wp:wrapSquare wrapText="bothSides"/>
                <wp:docPr id="33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noProof/>
              <w:lang w:val="en-US"/>
            </w:rPr>
            <mc:AlternateContent>
              <mc:Choice Requires="wps">
                <w:drawing>
                  <wp:anchor distT="0" distB="0" distL="114300" distR="114300" simplePos="0" relativeHeight="252001280" behindDoc="0" locked="0" layoutInCell="1" allowOverlap="1" wp14:anchorId="15B85CB6" wp14:editId="5CC97ACC">
                    <wp:simplePos x="0" y="0"/>
                    <wp:positionH relativeFrom="column">
                      <wp:posOffset>-455930</wp:posOffset>
                    </wp:positionH>
                    <wp:positionV relativeFrom="paragraph">
                      <wp:posOffset>39370</wp:posOffset>
                    </wp:positionV>
                    <wp:extent cx="5986145" cy="635"/>
                    <wp:effectExtent l="10795" t="10795" r="13335" b="7620"/>
                    <wp:wrapNone/>
                    <wp:docPr id="690"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168" o:spid="_x0000_s1026" type="#_x0000_t32" style="position:absolute;margin-left:-35.9pt;margin-top:3.1pt;width:471.35pt;height:.0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YIwIAAEE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"/>
                </w:pict>
              </mc:Fallback>
            </mc:AlternateContent>
          </w:r>
        </w:p>
      </w:tc>
      <w:tc>
        <w:tcPr>
          <w:tcW w:w="4194" w:type="dxa"/>
          <w:shd w:val="clear" w:color="auto" w:fill="FFFFFF" w:themeFill="background1"/>
          <w:vAlign w:val="center"/>
        </w:tcPr>
        <w:p w:rsidR="00D15921" w:rsidRPr="00A625BF" w:rsidRDefault="00463BCB" w:rsidP="00A625BF">
          <w:pPr>
            <w:pStyle w:val="Footer"/>
            <w:jc w:val="center"/>
            <w:rPr>
              <w:rFonts w:asciiTheme="minorHAnsi" w:eastAsiaTheme="minorHAnsi" w:hAnsiTheme="minorHAnsi" w:cstheme="minorBidi"/>
              <w:lang w:val="es-PR"/>
            </w:rPr>
          </w:pPr>
          <w:r w:rsidRPr="00463BCB">
            <w:rPr>
              <w:rFonts w:asciiTheme="minorHAnsi" w:eastAsiaTheme="minorHAnsi" w:hAnsiTheme="minorHAnsi" w:cstheme="minorBidi"/>
              <w:lang w:val="es-PR"/>
            </w:rPr>
            <w:t>3-1-1 Tu Línea de Servicios de Gobierno</w:t>
          </w:r>
        </w:p>
      </w:tc>
      <w:tc>
        <w:tcPr>
          <w:tcW w:w="2988" w:type="dxa"/>
          <w:shd w:val="clear" w:color="auto" w:fill="FFFFFF" w:themeFill="background1"/>
          <w:vAlign w:val="center"/>
        </w:tcPr>
        <w:p w:rsidR="00D15921" w:rsidRPr="00A625BF" w:rsidRDefault="00D15921"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D15921" w:rsidRDefault="00D159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BCB" w:rsidRDefault="00463B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D15921" w:rsidRPr="00A625BF" w:rsidTr="00A625BF">
      <w:tc>
        <w:tcPr>
          <w:tcW w:w="2394" w:type="dxa"/>
          <w:shd w:val="clear" w:color="auto" w:fill="FFFFFF" w:themeFill="background1"/>
          <w:vAlign w:val="center"/>
        </w:tcPr>
        <w:p w:rsidR="00D15921" w:rsidRPr="00A625BF" w:rsidRDefault="00D15921" w:rsidP="00A625BF">
          <w:pPr>
            <w:pStyle w:val="Footer"/>
            <w:jc w:val="center"/>
            <w:rPr>
              <w:rFonts w:asciiTheme="minorHAnsi" w:eastAsiaTheme="minorHAnsi" w:hAnsiTheme="minorHAnsi" w:cstheme="minorBidi"/>
            </w:rPr>
          </w:pPr>
          <w:r>
            <w:rPr>
              <w:rFonts w:asciiTheme="minorHAnsi" w:eastAsiaTheme="minorHAnsi" w:hAnsiTheme="minorHAnsi" w:cstheme="minorBidi"/>
              <w:noProof/>
              <w:lang w:val="en-US"/>
            </w:rPr>
            <w:drawing>
              <wp:anchor distT="0" distB="0" distL="114300" distR="114300" simplePos="0" relativeHeight="251659264" behindDoc="0" locked="0" layoutInCell="1" allowOverlap="1" wp14:anchorId="1F137C92" wp14:editId="499EA563">
                <wp:simplePos x="0" y="0"/>
                <wp:positionH relativeFrom="column">
                  <wp:posOffset>-555625</wp:posOffset>
                </wp:positionH>
                <wp:positionV relativeFrom="paragraph">
                  <wp:posOffset>132080</wp:posOffset>
                </wp:positionV>
                <wp:extent cx="333375" cy="276225"/>
                <wp:effectExtent l="19050" t="0" r="9525" b="0"/>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tretch>
                          <a:fillRect/>
                        </a:stretch>
                      </pic:blipFill>
                      <pic:spPr bwMode="auto">
                        <a:xfrm>
                          <a:off x="0" y="0"/>
                          <a:ext cx="333375" cy="276225"/>
                        </a:xfrm>
                        <a:prstGeom prst="rect">
                          <a:avLst/>
                        </a:prstGeom>
                        <a:noFill/>
                        <a:ln w="9525">
                          <a:noFill/>
                          <a:miter lim="800000"/>
                          <a:headEnd/>
                          <a:tailEnd/>
                        </a:ln>
                      </pic:spPr>
                    </pic:pic>
                  </a:graphicData>
                </a:graphic>
              </wp:anchor>
            </w:drawing>
          </w:r>
          <w:r>
            <w:rPr>
              <w:rFonts w:asciiTheme="minorHAnsi" w:eastAsiaTheme="minorHAnsi" w:hAnsiTheme="minorHAnsi" w:cstheme="minorBidi"/>
              <w:noProof/>
              <w:lang w:val="en-US"/>
            </w:rPr>
            <mc:AlternateContent>
              <mc:Choice Requires="wps">
                <w:drawing>
                  <wp:anchor distT="0" distB="0" distL="114300" distR="114300" simplePos="0" relativeHeight="251661312" behindDoc="0" locked="0" layoutInCell="1" allowOverlap="1">
                    <wp:simplePos x="0" y="0"/>
                    <wp:positionH relativeFrom="column">
                      <wp:posOffset>-455930</wp:posOffset>
                    </wp:positionH>
                    <wp:positionV relativeFrom="paragraph">
                      <wp:posOffset>39370</wp:posOffset>
                    </wp:positionV>
                    <wp:extent cx="5986145" cy="635"/>
                    <wp:effectExtent l="10795" t="10795" r="13335" b="7620"/>
                    <wp:wrapNone/>
                    <wp:docPr id="5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 o:spid="_x0000_s1026" type="#_x0000_t32" style="position:absolute;margin-left:-35.9pt;margin-top:3.1pt;width:471.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aW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NruJpYiAgAAPwQAAA4AAAAAAAAAAAAAAAAALgIAAGRycy9lMm9Eb2MueG1s&#10;UEsBAi0AFAAGAAgAAAAhABGaw8rdAAAABwEAAA8AAAAAAAAAAAAAAAAAfAQAAGRycy9kb3ducmV2&#10;LnhtbFBLBQYAAAAABAAEAPMAAACGBQAAAAA=&#10;"/>
                </w:pict>
              </mc:Fallback>
            </mc:AlternateContent>
          </w:r>
        </w:p>
      </w:tc>
      <w:tc>
        <w:tcPr>
          <w:tcW w:w="4194" w:type="dxa"/>
          <w:shd w:val="clear" w:color="auto" w:fill="FFFFFF" w:themeFill="background1"/>
          <w:vAlign w:val="center"/>
        </w:tcPr>
        <w:p w:rsidR="00D15921" w:rsidRPr="00A625BF" w:rsidRDefault="00D15921" w:rsidP="00A625BF">
          <w:pPr>
            <w:pStyle w:val="Footer"/>
            <w:jc w:val="center"/>
            <w:rPr>
              <w:rFonts w:asciiTheme="minorHAnsi" w:eastAsiaTheme="minorHAnsi" w:hAnsiTheme="minorHAnsi" w:cstheme="minorBidi"/>
              <w:lang w:val="es-PR"/>
            </w:rPr>
          </w:pPr>
          <w:r w:rsidRPr="00A625BF">
            <w:rPr>
              <w:rFonts w:asciiTheme="minorHAnsi" w:eastAsiaTheme="minorHAnsi" w:hAnsiTheme="minorHAnsi" w:cstheme="minorBidi"/>
              <w:lang w:val="es-PR"/>
            </w:rPr>
            <w:t>Gobierno de Puerto Rico</w:t>
          </w:r>
        </w:p>
      </w:tc>
      <w:tc>
        <w:tcPr>
          <w:tcW w:w="2988" w:type="dxa"/>
          <w:shd w:val="clear" w:color="auto" w:fill="FFFFFF" w:themeFill="background1"/>
          <w:vAlign w:val="center"/>
        </w:tcPr>
        <w:p w:rsidR="00D15921" w:rsidRPr="00A625BF" w:rsidRDefault="00D15921"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D15921" w:rsidRDefault="00D159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21" w:rsidRDefault="00D15921" w:rsidP="005501A9">
      <w:pPr>
        <w:spacing w:after="0" w:line="240" w:lineRule="auto"/>
      </w:pPr>
      <w:r>
        <w:separator/>
      </w:r>
    </w:p>
  </w:footnote>
  <w:footnote w:type="continuationSeparator" w:id="0">
    <w:p w:rsidR="00D15921" w:rsidRDefault="00D15921"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BCB" w:rsidRDefault="00463B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229" w:rsidRDefault="00723229" w:rsidP="00723229">
    <w:pPr>
      <w:tabs>
        <w:tab w:val="center" w:pos="4680"/>
      </w:tabs>
      <w:spacing w:after="0" w:line="240" w:lineRule="auto"/>
      <w:ind w:right="1620"/>
      <w:rPr>
        <w:sz w:val="32"/>
        <w:szCs w:val="32"/>
        <w:lang w:val="es-PR"/>
      </w:rPr>
    </w:pPr>
    <w:r>
      <w:rPr>
        <w:noProof/>
        <w:sz w:val="32"/>
        <w:szCs w:val="32"/>
        <w:lang w:val="en-US"/>
      </w:rPr>
      <mc:AlternateContent>
        <mc:Choice Requires="wps">
          <w:drawing>
            <wp:anchor distT="0" distB="0" distL="114300" distR="114300" simplePos="0" relativeHeight="252003328" behindDoc="0" locked="0" layoutInCell="1" allowOverlap="1" wp14:anchorId="299A37B7" wp14:editId="1C5821B4">
              <wp:simplePos x="0" y="0"/>
              <wp:positionH relativeFrom="column">
                <wp:posOffset>4946650</wp:posOffset>
              </wp:positionH>
              <wp:positionV relativeFrom="paragraph">
                <wp:posOffset>84455</wp:posOffset>
              </wp:positionV>
              <wp:extent cx="1050290" cy="349250"/>
              <wp:effectExtent l="12700" t="8255" r="13335" b="13970"/>
              <wp:wrapNone/>
              <wp:docPr id="69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723229" w:rsidRPr="00815B23" w:rsidRDefault="00723229" w:rsidP="00723229">
                          <w:pPr>
                            <w:spacing w:after="0" w:line="240" w:lineRule="auto"/>
                            <w:jc w:val="center"/>
                            <w:rPr>
                              <w:sz w:val="16"/>
                              <w:szCs w:val="16"/>
                              <w:lang w:val="es-PR"/>
                            </w:rPr>
                          </w:pPr>
                          <w:r w:rsidRPr="00C62850">
                            <w:rPr>
                              <w:noProof/>
                              <w:sz w:val="16"/>
                              <w:szCs w:val="16"/>
                              <w:lang w:val="es-PR"/>
                            </w:rPr>
                            <w:t>DJ</w:t>
                          </w:r>
                          <w:r>
                            <w:rPr>
                              <w:sz w:val="16"/>
                              <w:szCs w:val="16"/>
                              <w:lang w:val="es-PR"/>
                            </w:rPr>
                            <w:t>-001</w:t>
                          </w:r>
                        </w:p>
                        <w:p w:rsidR="00723229" w:rsidRPr="00815B23" w:rsidRDefault="00723229" w:rsidP="00723229">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67" o:spid="_x0000_s1026" type="#_x0000_t202" style="position:absolute;margin-left:389.5pt;margin-top:6.65pt;width:82.7pt;height:27.5pt;z-index:252003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">
              <v:textbox style="mso-fit-shape-to-text:t">
                <w:txbxContent>
                  <w:p w:rsidR="00723229" w:rsidRPr="00815B23" w:rsidRDefault="00723229" w:rsidP="00723229">
                    <w:pPr>
                      <w:spacing w:after="0" w:line="240" w:lineRule="auto"/>
                      <w:jc w:val="center"/>
                      <w:rPr>
                        <w:sz w:val="16"/>
                        <w:szCs w:val="16"/>
                        <w:lang w:val="es-PR"/>
                      </w:rPr>
                    </w:pPr>
                    <w:r w:rsidRPr="00C62850">
                      <w:rPr>
                        <w:noProof/>
                        <w:sz w:val="16"/>
                        <w:szCs w:val="16"/>
                        <w:lang w:val="es-PR"/>
                      </w:rPr>
                      <w:t>DJ</w:t>
                    </w:r>
                    <w:r>
                      <w:rPr>
                        <w:sz w:val="16"/>
                        <w:szCs w:val="16"/>
                        <w:lang w:val="es-PR"/>
                      </w:rPr>
                      <w:t>-001</w:t>
                    </w:r>
                  </w:p>
                  <w:p w:rsidR="00723229" w:rsidRPr="00815B23" w:rsidRDefault="00723229" w:rsidP="00723229">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Pr="00C62850">
      <w:rPr>
        <w:noProof/>
        <w:sz w:val="32"/>
        <w:szCs w:val="32"/>
        <w:lang w:val="es-PR"/>
      </w:rPr>
      <w:t>Departamento de Justicia</w:t>
    </w:r>
    <w:r>
      <w:rPr>
        <w:noProof/>
        <w:sz w:val="32"/>
        <w:szCs w:val="32"/>
        <w:lang w:val="es-PR"/>
      </w:rPr>
      <w:t xml:space="preserve"> (DJ)</w:t>
    </w:r>
    <w:r>
      <w:rPr>
        <w:sz w:val="32"/>
        <w:szCs w:val="32"/>
        <w:lang w:val="es-PR"/>
      </w:rPr>
      <w:tab/>
    </w:r>
  </w:p>
  <w:p w:rsidR="00723229" w:rsidRDefault="00723229" w:rsidP="00723229">
    <w:pPr>
      <w:spacing w:after="0" w:line="240" w:lineRule="auto"/>
      <w:rPr>
        <w:b/>
        <w:sz w:val="28"/>
        <w:szCs w:val="28"/>
        <w:lang w:val="es-PR"/>
      </w:rPr>
    </w:pPr>
    <w:r>
      <w:rPr>
        <w:b/>
        <w:sz w:val="28"/>
        <w:szCs w:val="28"/>
        <w:lang w:val="es-PR"/>
      </w:rPr>
      <w:t>Información General</w:t>
    </w:r>
  </w:p>
  <w:p w:rsidR="00723229" w:rsidRDefault="00723229" w:rsidP="0047186A">
    <w:pPr>
      <w:spacing w:after="0" w:line="240" w:lineRule="auto"/>
      <w:rPr>
        <w:b/>
        <w:sz w:val="28"/>
        <w:szCs w:val="28"/>
        <w:highlight w:val="yellow"/>
        <w:lang w:val="es-PR"/>
      </w:rPr>
    </w:pPr>
  </w:p>
  <w:p w:rsidR="00D15921" w:rsidRDefault="00D15921" w:rsidP="0047186A">
    <w:pPr>
      <w:spacing w:after="0" w:line="240" w:lineRule="auto"/>
      <w:rPr>
        <w:b/>
        <w:sz w:val="28"/>
        <w:szCs w:val="28"/>
        <w:lang w:val="es-PR"/>
      </w:rPr>
    </w:pPr>
    <w:r w:rsidRPr="00F240F5">
      <w:rPr>
        <w:b/>
        <w:sz w:val="28"/>
        <w:szCs w:val="28"/>
        <w:highlight w:val="yellow"/>
        <w:lang w:val="es-PR"/>
      </w:rPr>
      <w:t>AGENCIA NO INTEGRADA</w:t>
    </w:r>
  </w:p>
  <w:p w:rsidR="00D15921" w:rsidRPr="001C2D5F" w:rsidRDefault="00D15921" w:rsidP="0047186A">
    <w:pPr>
      <w:spacing w:after="0" w:line="240" w:lineRule="auto"/>
      <w:rPr>
        <w:sz w:val="18"/>
        <w:szCs w:val="18"/>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BCB" w:rsidRDefault="00463B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229" w:rsidRDefault="00723229" w:rsidP="00723229">
    <w:pPr>
      <w:tabs>
        <w:tab w:val="center" w:pos="4680"/>
      </w:tabs>
      <w:spacing w:after="0" w:line="240" w:lineRule="auto"/>
      <w:ind w:right="1620"/>
      <w:rPr>
        <w:sz w:val="32"/>
        <w:szCs w:val="32"/>
        <w:lang w:val="es-PR"/>
      </w:rPr>
    </w:pPr>
    <w:r>
      <w:rPr>
        <w:noProof/>
        <w:sz w:val="32"/>
        <w:szCs w:val="32"/>
        <w:lang w:val="en-US"/>
      </w:rPr>
      <mc:AlternateContent>
        <mc:Choice Requires="wps">
          <w:drawing>
            <wp:anchor distT="0" distB="0" distL="114300" distR="114300" simplePos="0" relativeHeight="252005376" behindDoc="0" locked="0" layoutInCell="1" allowOverlap="1" wp14:anchorId="373D3745" wp14:editId="427E3127">
              <wp:simplePos x="0" y="0"/>
              <wp:positionH relativeFrom="column">
                <wp:posOffset>4946650</wp:posOffset>
              </wp:positionH>
              <wp:positionV relativeFrom="paragraph">
                <wp:posOffset>84455</wp:posOffset>
              </wp:positionV>
              <wp:extent cx="1050290" cy="349250"/>
              <wp:effectExtent l="12700" t="8255" r="13335" b="1397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723229" w:rsidRPr="00815B23" w:rsidRDefault="00723229" w:rsidP="00723229">
                          <w:pPr>
                            <w:spacing w:after="0" w:line="240" w:lineRule="auto"/>
                            <w:jc w:val="center"/>
                            <w:rPr>
                              <w:sz w:val="16"/>
                              <w:szCs w:val="16"/>
                              <w:lang w:val="es-PR"/>
                            </w:rPr>
                          </w:pPr>
                          <w:r w:rsidRPr="00C62850">
                            <w:rPr>
                              <w:noProof/>
                              <w:sz w:val="16"/>
                              <w:szCs w:val="16"/>
                              <w:lang w:val="es-PR"/>
                            </w:rPr>
                            <w:t>DJ</w:t>
                          </w:r>
                          <w:r>
                            <w:rPr>
                              <w:sz w:val="16"/>
                              <w:szCs w:val="16"/>
                              <w:lang w:val="es-PR"/>
                            </w:rPr>
                            <w:t>-001</w:t>
                          </w:r>
                        </w:p>
                        <w:p w:rsidR="00723229" w:rsidRPr="00815B23" w:rsidRDefault="00723229" w:rsidP="00723229">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389.5pt;margin-top:6.65pt;width:82.7pt;height:27.5pt;z-index:25200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">
              <v:textbox style="mso-fit-shape-to-text:t">
                <w:txbxContent>
                  <w:p w:rsidR="00723229" w:rsidRPr="00815B23" w:rsidRDefault="00723229" w:rsidP="00723229">
                    <w:pPr>
                      <w:spacing w:after="0" w:line="240" w:lineRule="auto"/>
                      <w:jc w:val="center"/>
                      <w:rPr>
                        <w:sz w:val="16"/>
                        <w:szCs w:val="16"/>
                        <w:lang w:val="es-PR"/>
                      </w:rPr>
                    </w:pPr>
                    <w:r w:rsidRPr="00C62850">
                      <w:rPr>
                        <w:noProof/>
                        <w:sz w:val="16"/>
                        <w:szCs w:val="16"/>
                        <w:lang w:val="es-PR"/>
                      </w:rPr>
                      <w:t>DJ</w:t>
                    </w:r>
                    <w:r>
                      <w:rPr>
                        <w:sz w:val="16"/>
                        <w:szCs w:val="16"/>
                        <w:lang w:val="es-PR"/>
                      </w:rPr>
                      <w:t>-001</w:t>
                    </w:r>
                  </w:p>
                  <w:p w:rsidR="00723229" w:rsidRPr="00815B23" w:rsidRDefault="00723229" w:rsidP="00723229">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Pr="00C62850">
      <w:rPr>
        <w:noProof/>
        <w:sz w:val="32"/>
        <w:szCs w:val="32"/>
        <w:lang w:val="es-PR"/>
      </w:rPr>
      <w:t>Departamento de Justicia</w:t>
    </w:r>
    <w:r>
      <w:rPr>
        <w:noProof/>
        <w:sz w:val="32"/>
        <w:szCs w:val="32"/>
        <w:lang w:val="es-PR"/>
      </w:rPr>
      <w:t xml:space="preserve"> (DJ)</w:t>
    </w:r>
    <w:r>
      <w:rPr>
        <w:sz w:val="32"/>
        <w:szCs w:val="32"/>
        <w:lang w:val="es-PR"/>
      </w:rPr>
      <w:tab/>
    </w:r>
  </w:p>
  <w:p w:rsidR="00723229" w:rsidRDefault="00723229" w:rsidP="00723229">
    <w:pPr>
      <w:spacing w:after="0" w:line="240" w:lineRule="auto"/>
      <w:rPr>
        <w:b/>
        <w:sz w:val="28"/>
        <w:szCs w:val="28"/>
        <w:lang w:val="es-PR"/>
      </w:rPr>
    </w:pPr>
    <w:r>
      <w:rPr>
        <w:b/>
        <w:sz w:val="28"/>
        <w:szCs w:val="28"/>
        <w:lang w:val="es-PR"/>
      </w:rPr>
      <w:t>Información General</w:t>
    </w:r>
  </w:p>
  <w:p w:rsidR="00723229" w:rsidRDefault="00723229" w:rsidP="0047186A">
    <w:pPr>
      <w:spacing w:after="0" w:line="240" w:lineRule="auto"/>
      <w:rPr>
        <w:b/>
        <w:sz w:val="28"/>
        <w:szCs w:val="28"/>
        <w:highlight w:val="yellow"/>
        <w:lang w:val="es-PR"/>
      </w:rPr>
    </w:pPr>
  </w:p>
  <w:p w:rsidR="00D15921" w:rsidRDefault="00D15921" w:rsidP="0047186A">
    <w:pPr>
      <w:spacing w:after="0" w:line="240" w:lineRule="auto"/>
      <w:rPr>
        <w:b/>
        <w:sz w:val="28"/>
        <w:szCs w:val="28"/>
        <w:lang w:val="es-PR"/>
      </w:rPr>
    </w:pPr>
    <w:r w:rsidRPr="00F240F5">
      <w:rPr>
        <w:b/>
        <w:sz w:val="28"/>
        <w:szCs w:val="28"/>
        <w:highlight w:val="yellow"/>
        <w:lang w:val="es-PR"/>
      </w:rPr>
      <w:t>AGENCIA NO INTEGRADA</w:t>
    </w:r>
  </w:p>
  <w:p w:rsidR="00D15921" w:rsidRPr="001C2D5F" w:rsidRDefault="00D15921" w:rsidP="0047186A">
    <w:pPr>
      <w:spacing w:after="0" w:line="240" w:lineRule="auto"/>
      <w:rPr>
        <w:sz w:val="18"/>
        <w:szCs w:val="1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A73093A"/>
    <w:multiLevelType w:val="hybridMultilevel"/>
    <w:tmpl w:val="46DA65F6"/>
    <w:lvl w:ilvl="0" w:tplc="6AEEBBDA">
      <w:numFmt w:val="bullet"/>
      <w:lvlText w:val="-"/>
      <w:lvlJc w:val="left"/>
      <w:pPr>
        <w:ind w:left="1080" w:hanging="360"/>
      </w:pPr>
      <w:rPr>
        <w:rFonts w:ascii="Calibri" w:eastAsia="Calibri" w:hAnsi="Calibri" w:cs="Calibri"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4">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B6B3B"/>
    <w:multiLevelType w:val="hybridMultilevel"/>
    <w:tmpl w:val="F24C1224"/>
    <w:lvl w:ilvl="0" w:tplc="0409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0">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3">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7">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03274E"/>
    <w:multiLevelType w:val="hybridMultilevel"/>
    <w:tmpl w:val="D89A1E0C"/>
    <w:lvl w:ilvl="0" w:tplc="0409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0">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3">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4">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7">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9">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0">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7"/>
  </w:num>
  <w:num w:numId="2">
    <w:abstractNumId w:val="26"/>
  </w:num>
  <w:num w:numId="3">
    <w:abstractNumId w:val="27"/>
  </w:num>
  <w:num w:numId="4">
    <w:abstractNumId w:val="31"/>
  </w:num>
  <w:num w:numId="5">
    <w:abstractNumId w:val="17"/>
  </w:num>
  <w:num w:numId="6">
    <w:abstractNumId w:val="13"/>
  </w:num>
  <w:num w:numId="7">
    <w:abstractNumId w:val="21"/>
  </w:num>
  <w:num w:numId="8">
    <w:abstractNumId w:val="11"/>
  </w:num>
  <w:num w:numId="9">
    <w:abstractNumId w:val="24"/>
  </w:num>
  <w:num w:numId="10">
    <w:abstractNumId w:val="10"/>
  </w:num>
  <w:num w:numId="11">
    <w:abstractNumId w:val="1"/>
  </w:num>
  <w:num w:numId="12">
    <w:abstractNumId w:val="30"/>
  </w:num>
  <w:num w:numId="13">
    <w:abstractNumId w:val="4"/>
  </w:num>
  <w:num w:numId="14">
    <w:abstractNumId w:val="25"/>
  </w:num>
  <w:num w:numId="15">
    <w:abstractNumId w:val="6"/>
  </w:num>
  <w:num w:numId="16">
    <w:abstractNumId w:val="20"/>
  </w:num>
  <w:num w:numId="17">
    <w:abstractNumId w:val="5"/>
  </w:num>
  <w:num w:numId="18">
    <w:abstractNumId w:val="23"/>
  </w:num>
  <w:num w:numId="19">
    <w:abstractNumId w:val="14"/>
  </w:num>
  <w:num w:numId="20">
    <w:abstractNumId w:val="22"/>
  </w:num>
  <w:num w:numId="21">
    <w:abstractNumId w:val="12"/>
  </w:num>
  <w:num w:numId="22">
    <w:abstractNumId w:val="2"/>
  </w:num>
  <w:num w:numId="23">
    <w:abstractNumId w:val="28"/>
  </w:num>
  <w:num w:numId="24">
    <w:abstractNumId w:val="29"/>
  </w:num>
  <w:num w:numId="25">
    <w:abstractNumId w:val="9"/>
  </w:num>
  <w:num w:numId="26">
    <w:abstractNumId w:val="0"/>
  </w:num>
  <w:num w:numId="27">
    <w:abstractNumId w:val="19"/>
  </w:num>
  <w:num w:numId="28">
    <w:abstractNumId w:val="16"/>
  </w:num>
  <w:num w:numId="29">
    <w:abstractNumId w:val="15"/>
  </w:num>
  <w:num w:numId="30">
    <w:abstractNumId w:val="8"/>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5"/>
    <w:rsid w:val="00005355"/>
    <w:rsid w:val="000103CD"/>
    <w:rsid w:val="00021BB5"/>
    <w:rsid w:val="00022098"/>
    <w:rsid w:val="00031913"/>
    <w:rsid w:val="00032898"/>
    <w:rsid w:val="00032D48"/>
    <w:rsid w:val="00035A7B"/>
    <w:rsid w:val="00037674"/>
    <w:rsid w:val="000458BF"/>
    <w:rsid w:val="000517CD"/>
    <w:rsid w:val="00057000"/>
    <w:rsid w:val="000654F9"/>
    <w:rsid w:val="00066C33"/>
    <w:rsid w:val="000674D5"/>
    <w:rsid w:val="0007270C"/>
    <w:rsid w:val="00075B22"/>
    <w:rsid w:val="00075B7B"/>
    <w:rsid w:val="00076DE8"/>
    <w:rsid w:val="00077B18"/>
    <w:rsid w:val="0009017E"/>
    <w:rsid w:val="00091C87"/>
    <w:rsid w:val="000940BF"/>
    <w:rsid w:val="00095162"/>
    <w:rsid w:val="0009685B"/>
    <w:rsid w:val="000A1207"/>
    <w:rsid w:val="000A19E1"/>
    <w:rsid w:val="000A6877"/>
    <w:rsid w:val="000B0C5A"/>
    <w:rsid w:val="000B1C92"/>
    <w:rsid w:val="000B2831"/>
    <w:rsid w:val="000B69D3"/>
    <w:rsid w:val="000C5283"/>
    <w:rsid w:val="000D60F9"/>
    <w:rsid w:val="000E4017"/>
    <w:rsid w:val="000F40B6"/>
    <w:rsid w:val="000F7989"/>
    <w:rsid w:val="00101F32"/>
    <w:rsid w:val="0011279C"/>
    <w:rsid w:val="001143FE"/>
    <w:rsid w:val="00122E19"/>
    <w:rsid w:val="00126FC9"/>
    <w:rsid w:val="001307A4"/>
    <w:rsid w:val="00133BAB"/>
    <w:rsid w:val="00134878"/>
    <w:rsid w:val="001356F1"/>
    <w:rsid w:val="00142FD6"/>
    <w:rsid w:val="0014766A"/>
    <w:rsid w:val="001525C7"/>
    <w:rsid w:val="00162D4A"/>
    <w:rsid w:val="00163580"/>
    <w:rsid w:val="0016664C"/>
    <w:rsid w:val="00173985"/>
    <w:rsid w:val="00174283"/>
    <w:rsid w:val="00175C1F"/>
    <w:rsid w:val="00181A79"/>
    <w:rsid w:val="00182153"/>
    <w:rsid w:val="00185438"/>
    <w:rsid w:val="00185F44"/>
    <w:rsid w:val="001860B9"/>
    <w:rsid w:val="00191D71"/>
    <w:rsid w:val="00194922"/>
    <w:rsid w:val="001B4194"/>
    <w:rsid w:val="001B5E3B"/>
    <w:rsid w:val="001B6772"/>
    <w:rsid w:val="001B6C87"/>
    <w:rsid w:val="001C0483"/>
    <w:rsid w:val="001C147E"/>
    <w:rsid w:val="001C2D5F"/>
    <w:rsid w:val="001C4B1B"/>
    <w:rsid w:val="001C7A01"/>
    <w:rsid w:val="001D586F"/>
    <w:rsid w:val="001E1870"/>
    <w:rsid w:val="001E770C"/>
    <w:rsid w:val="002004EC"/>
    <w:rsid w:val="0020276F"/>
    <w:rsid w:val="002036C5"/>
    <w:rsid w:val="00203A78"/>
    <w:rsid w:val="00204116"/>
    <w:rsid w:val="002069F5"/>
    <w:rsid w:val="002178F4"/>
    <w:rsid w:val="002241F3"/>
    <w:rsid w:val="00224796"/>
    <w:rsid w:val="00225FE9"/>
    <w:rsid w:val="00231ED1"/>
    <w:rsid w:val="002353F0"/>
    <w:rsid w:val="00236370"/>
    <w:rsid w:val="00237BDC"/>
    <w:rsid w:val="00242BBB"/>
    <w:rsid w:val="00245FEB"/>
    <w:rsid w:val="002501E2"/>
    <w:rsid w:val="00265792"/>
    <w:rsid w:val="0026787D"/>
    <w:rsid w:val="00267DA0"/>
    <w:rsid w:val="002734CB"/>
    <w:rsid w:val="0027646A"/>
    <w:rsid w:val="00277BF0"/>
    <w:rsid w:val="00285FF6"/>
    <w:rsid w:val="002908E3"/>
    <w:rsid w:val="0029349D"/>
    <w:rsid w:val="002A7ACF"/>
    <w:rsid w:val="002B5156"/>
    <w:rsid w:val="002B59DC"/>
    <w:rsid w:val="002C1753"/>
    <w:rsid w:val="002D1E0C"/>
    <w:rsid w:val="002D3544"/>
    <w:rsid w:val="002D3658"/>
    <w:rsid w:val="002D392D"/>
    <w:rsid w:val="002E0FA0"/>
    <w:rsid w:val="002F030A"/>
    <w:rsid w:val="002F38A5"/>
    <w:rsid w:val="0030058C"/>
    <w:rsid w:val="003017A1"/>
    <w:rsid w:val="00303BF4"/>
    <w:rsid w:val="00306286"/>
    <w:rsid w:val="00307F9A"/>
    <w:rsid w:val="00314199"/>
    <w:rsid w:val="0033701A"/>
    <w:rsid w:val="00344E42"/>
    <w:rsid w:val="003556DB"/>
    <w:rsid w:val="00362B7B"/>
    <w:rsid w:val="0036675A"/>
    <w:rsid w:val="00370141"/>
    <w:rsid w:val="00393F9D"/>
    <w:rsid w:val="003950A0"/>
    <w:rsid w:val="003A20CF"/>
    <w:rsid w:val="003A7310"/>
    <w:rsid w:val="003B4575"/>
    <w:rsid w:val="003C6015"/>
    <w:rsid w:val="003C71F9"/>
    <w:rsid w:val="003E0674"/>
    <w:rsid w:val="003E3CF4"/>
    <w:rsid w:val="003F0271"/>
    <w:rsid w:val="003F6F56"/>
    <w:rsid w:val="003F7B76"/>
    <w:rsid w:val="003F7EF4"/>
    <w:rsid w:val="004012B7"/>
    <w:rsid w:val="0040446E"/>
    <w:rsid w:val="00406783"/>
    <w:rsid w:val="00412C48"/>
    <w:rsid w:val="004208A1"/>
    <w:rsid w:val="004241F6"/>
    <w:rsid w:val="0043005F"/>
    <w:rsid w:val="00434497"/>
    <w:rsid w:val="004372B7"/>
    <w:rsid w:val="00445105"/>
    <w:rsid w:val="004529FC"/>
    <w:rsid w:val="004548F1"/>
    <w:rsid w:val="00456683"/>
    <w:rsid w:val="00461ACE"/>
    <w:rsid w:val="00463BCB"/>
    <w:rsid w:val="004651BE"/>
    <w:rsid w:val="0047186A"/>
    <w:rsid w:val="00475E45"/>
    <w:rsid w:val="00476F59"/>
    <w:rsid w:val="004842B9"/>
    <w:rsid w:val="004847E5"/>
    <w:rsid w:val="0049324C"/>
    <w:rsid w:val="0049566C"/>
    <w:rsid w:val="004979AF"/>
    <w:rsid w:val="00497B37"/>
    <w:rsid w:val="004A04AB"/>
    <w:rsid w:val="004A5AAE"/>
    <w:rsid w:val="004A66C8"/>
    <w:rsid w:val="004B1882"/>
    <w:rsid w:val="004C2D1D"/>
    <w:rsid w:val="004D2A32"/>
    <w:rsid w:val="004D33BF"/>
    <w:rsid w:val="004D415A"/>
    <w:rsid w:val="004E0DAC"/>
    <w:rsid w:val="004E1CC2"/>
    <w:rsid w:val="004F4209"/>
    <w:rsid w:val="00506097"/>
    <w:rsid w:val="005241A9"/>
    <w:rsid w:val="00527066"/>
    <w:rsid w:val="00532C7E"/>
    <w:rsid w:val="00537AFD"/>
    <w:rsid w:val="005420A8"/>
    <w:rsid w:val="00544149"/>
    <w:rsid w:val="005448F7"/>
    <w:rsid w:val="005501A9"/>
    <w:rsid w:val="005515A2"/>
    <w:rsid w:val="005556A2"/>
    <w:rsid w:val="00556A00"/>
    <w:rsid w:val="00557367"/>
    <w:rsid w:val="00576109"/>
    <w:rsid w:val="0058498C"/>
    <w:rsid w:val="00590F9C"/>
    <w:rsid w:val="00591CEE"/>
    <w:rsid w:val="005B17FD"/>
    <w:rsid w:val="005B2388"/>
    <w:rsid w:val="005C1B0C"/>
    <w:rsid w:val="005C1D13"/>
    <w:rsid w:val="005C33B7"/>
    <w:rsid w:val="005D2EE9"/>
    <w:rsid w:val="005D6FC4"/>
    <w:rsid w:val="005D72CC"/>
    <w:rsid w:val="005F07EB"/>
    <w:rsid w:val="005F7447"/>
    <w:rsid w:val="00600C7C"/>
    <w:rsid w:val="00614C19"/>
    <w:rsid w:val="00633154"/>
    <w:rsid w:val="00633672"/>
    <w:rsid w:val="00633E03"/>
    <w:rsid w:val="00644031"/>
    <w:rsid w:val="00655D34"/>
    <w:rsid w:val="00655E15"/>
    <w:rsid w:val="0066535D"/>
    <w:rsid w:val="00667D45"/>
    <w:rsid w:val="006810A0"/>
    <w:rsid w:val="00681D7E"/>
    <w:rsid w:val="006823A0"/>
    <w:rsid w:val="0068260E"/>
    <w:rsid w:val="00682EDE"/>
    <w:rsid w:val="0068687E"/>
    <w:rsid w:val="00686BFC"/>
    <w:rsid w:val="00687F7E"/>
    <w:rsid w:val="00694504"/>
    <w:rsid w:val="006A35EC"/>
    <w:rsid w:val="006A5C1B"/>
    <w:rsid w:val="006B5A60"/>
    <w:rsid w:val="006B7DFA"/>
    <w:rsid w:val="006C1662"/>
    <w:rsid w:val="006C50A0"/>
    <w:rsid w:val="006C6588"/>
    <w:rsid w:val="006C6B39"/>
    <w:rsid w:val="006E3049"/>
    <w:rsid w:val="006E374E"/>
    <w:rsid w:val="006F0C66"/>
    <w:rsid w:val="006F359E"/>
    <w:rsid w:val="00706AE9"/>
    <w:rsid w:val="00717163"/>
    <w:rsid w:val="00722794"/>
    <w:rsid w:val="00723229"/>
    <w:rsid w:val="00726CF4"/>
    <w:rsid w:val="007271F4"/>
    <w:rsid w:val="00735FB7"/>
    <w:rsid w:val="007415A2"/>
    <w:rsid w:val="0074728C"/>
    <w:rsid w:val="00781E56"/>
    <w:rsid w:val="00790A6E"/>
    <w:rsid w:val="00793C85"/>
    <w:rsid w:val="007B1C6B"/>
    <w:rsid w:val="007B3534"/>
    <w:rsid w:val="007B35BD"/>
    <w:rsid w:val="007B4C53"/>
    <w:rsid w:val="007C089B"/>
    <w:rsid w:val="007C4C59"/>
    <w:rsid w:val="007C795B"/>
    <w:rsid w:val="007D07C4"/>
    <w:rsid w:val="007D7088"/>
    <w:rsid w:val="007E0061"/>
    <w:rsid w:val="007E1921"/>
    <w:rsid w:val="007E319D"/>
    <w:rsid w:val="007F0041"/>
    <w:rsid w:val="007F0327"/>
    <w:rsid w:val="007F6C93"/>
    <w:rsid w:val="007F7A59"/>
    <w:rsid w:val="00807397"/>
    <w:rsid w:val="00811DFB"/>
    <w:rsid w:val="00815B23"/>
    <w:rsid w:val="00817C0C"/>
    <w:rsid w:val="0082254D"/>
    <w:rsid w:val="00824CB0"/>
    <w:rsid w:val="00832CC3"/>
    <w:rsid w:val="00841D9E"/>
    <w:rsid w:val="008542CD"/>
    <w:rsid w:val="00876416"/>
    <w:rsid w:val="008766CF"/>
    <w:rsid w:val="00877A45"/>
    <w:rsid w:val="008947B8"/>
    <w:rsid w:val="008A0367"/>
    <w:rsid w:val="008B7F12"/>
    <w:rsid w:val="008C479E"/>
    <w:rsid w:val="00910F3B"/>
    <w:rsid w:val="00916D37"/>
    <w:rsid w:val="00917173"/>
    <w:rsid w:val="009177F5"/>
    <w:rsid w:val="00920F3A"/>
    <w:rsid w:val="00924F05"/>
    <w:rsid w:val="00933418"/>
    <w:rsid w:val="0093666D"/>
    <w:rsid w:val="00951825"/>
    <w:rsid w:val="00953728"/>
    <w:rsid w:val="00963FB9"/>
    <w:rsid w:val="0097559D"/>
    <w:rsid w:val="00983F08"/>
    <w:rsid w:val="009A1E26"/>
    <w:rsid w:val="009A402D"/>
    <w:rsid w:val="009B0563"/>
    <w:rsid w:val="009B26E4"/>
    <w:rsid w:val="009B2C9B"/>
    <w:rsid w:val="009C3BD1"/>
    <w:rsid w:val="009D5454"/>
    <w:rsid w:val="009E10B3"/>
    <w:rsid w:val="009E6F83"/>
    <w:rsid w:val="009F4507"/>
    <w:rsid w:val="00A03578"/>
    <w:rsid w:val="00A05433"/>
    <w:rsid w:val="00A06E34"/>
    <w:rsid w:val="00A132E2"/>
    <w:rsid w:val="00A15EFF"/>
    <w:rsid w:val="00A25135"/>
    <w:rsid w:val="00A26F7F"/>
    <w:rsid w:val="00A271A0"/>
    <w:rsid w:val="00A34BC1"/>
    <w:rsid w:val="00A5086B"/>
    <w:rsid w:val="00A60B6E"/>
    <w:rsid w:val="00A625BF"/>
    <w:rsid w:val="00A633B9"/>
    <w:rsid w:val="00A64429"/>
    <w:rsid w:val="00A64584"/>
    <w:rsid w:val="00A67769"/>
    <w:rsid w:val="00A7361C"/>
    <w:rsid w:val="00A73A7D"/>
    <w:rsid w:val="00A85737"/>
    <w:rsid w:val="00A877BD"/>
    <w:rsid w:val="00A87E54"/>
    <w:rsid w:val="00A902C1"/>
    <w:rsid w:val="00AA77AB"/>
    <w:rsid w:val="00AB0DF3"/>
    <w:rsid w:val="00AB1AE5"/>
    <w:rsid w:val="00AB301F"/>
    <w:rsid w:val="00AB7A80"/>
    <w:rsid w:val="00AC42C4"/>
    <w:rsid w:val="00AD3D71"/>
    <w:rsid w:val="00AD43CC"/>
    <w:rsid w:val="00AF0F2D"/>
    <w:rsid w:val="00AF2EAF"/>
    <w:rsid w:val="00B03DC9"/>
    <w:rsid w:val="00B26E30"/>
    <w:rsid w:val="00B34D73"/>
    <w:rsid w:val="00B409F7"/>
    <w:rsid w:val="00B45ED1"/>
    <w:rsid w:val="00B51703"/>
    <w:rsid w:val="00B5503B"/>
    <w:rsid w:val="00B65025"/>
    <w:rsid w:val="00B671BF"/>
    <w:rsid w:val="00B80303"/>
    <w:rsid w:val="00B80DEA"/>
    <w:rsid w:val="00B841AB"/>
    <w:rsid w:val="00B9135C"/>
    <w:rsid w:val="00B96917"/>
    <w:rsid w:val="00B97614"/>
    <w:rsid w:val="00BA55B7"/>
    <w:rsid w:val="00BB3D25"/>
    <w:rsid w:val="00BB72F0"/>
    <w:rsid w:val="00BB7B19"/>
    <w:rsid w:val="00BB7D22"/>
    <w:rsid w:val="00BC089D"/>
    <w:rsid w:val="00BC361C"/>
    <w:rsid w:val="00BE20DD"/>
    <w:rsid w:val="00BE36A7"/>
    <w:rsid w:val="00BE5E84"/>
    <w:rsid w:val="00BF1446"/>
    <w:rsid w:val="00BF69F3"/>
    <w:rsid w:val="00C133B5"/>
    <w:rsid w:val="00C14966"/>
    <w:rsid w:val="00C21DBC"/>
    <w:rsid w:val="00C22E14"/>
    <w:rsid w:val="00C26448"/>
    <w:rsid w:val="00C30F2D"/>
    <w:rsid w:val="00C56D6C"/>
    <w:rsid w:val="00C57A67"/>
    <w:rsid w:val="00C614EA"/>
    <w:rsid w:val="00C62C17"/>
    <w:rsid w:val="00C7220A"/>
    <w:rsid w:val="00C77541"/>
    <w:rsid w:val="00C84847"/>
    <w:rsid w:val="00C96C9B"/>
    <w:rsid w:val="00CA1937"/>
    <w:rsid w:val="00CB1B23"/>
    <w:rsid w:val="00CD525F"/>
    <w:rsid w:val="00CD63D6"/>
    <w:rsid w:val="00CD66EA"/>
    <w:rsid w:val="00CF03B8"/>
    <w:rsid w:val="00CF2784"/>
    <w:rsid w:val="00CF6CE6"/>
    <w:rsid w:val="00D06C9C"/>
    <w:rsid w:val="00D1097E"/>
    <w:rsid w:val="00D15921"/>
    <w:rsid w:val="00D17B23"/>
    <w:rsid w:val="00D21340"/>
    <w:rsid w:val="00D22047"/>
    <w:rsid w:val="00D33863"/>
    <w:rsid w:val="00D34073"/>
    <w:rsid w:val="00D34625"/>
    <w:rsid w:val="00D42014"/>
    <w:rsid w:val="00D57B36"/>
    <w:rsid w:val="00D7011E"/>
    <w:rsid w:val="00D7198C"/>
    <w:rsid w:val="00D72227"/>
    <w:rsid w:val="00D90302"/>
    <w:rsid w:val="00D97047"/>
    <w:rsid w:val="00DA1A0D"/>
    <w:rsid w:val="00DA5FE2"/>
    <w:rsid w:val="00DA69B9"/>
    <w:rsid w:val="00DB009A"/>
    <w:rsid w:val="00DB20A5"/>
    <w:rsid w:val="00DB63E7"/>
    <w:rsid w:val="00DB7E70"/>
    <w:rsid w:val="00DC25B7"/>
    <w:rsid w:val="00DC7A7E"/>
    <w:rsid w:val="00DD55E4"/>
    <w:rsid w:val="00DD6814"/>
    <w:rsid w:val="00DE0030"/>
    <w:rsid w:val="00DE184B"/>
    <w:rsid w:val="00DF27A7"/>
    <w:rsid w:val="00E05B59"/>
    <w:rsid w:val="00E06C52"/>
    <w:rsid w:val="00E101F1"/>
    <w:rsid w:val="00E14EC8"/>
    <w:rsid w:val="00E169B7"/>
    <w:rsid w:val="00E263A1"/>
    <w:rsid w:val="00E27C39"/>
    <w:rsid w:val="00E27EA1"/>
    <w:rsid w:val="00E366B6"/>
    <w:rsid w:val="00E36B79"/>
    <w:rsid w:val="00E53D05"/>
    <w:rsid w:val="00E62823"/>
    <w:rsid w:val="00E67805"/>
    <w:rsid w:val="00E94C68"/>
    <w:rsid w:val="00E95EB7"/>
    <w:rsid w:val="00EB10E1"/>
    <w:rsid w:val="00EB7ACD"/>
    <w:rsid w:val="00EC0600"/>
    <w:rsid w:val="00EE0ADA"/>
    <w:rsid w:val="00EE130A"/>
    <w:rsid w:val="00EE3A06"/>
    <w:rsid w:val="00EE489A"/>
    <w:rsid w:val="00F028E3"/>
    <w:rsid w:val="00F05AE7"/>
    <w:rsid w:val="00F10880"/>
    <w:rsid w:val="00F1249F"/>
    <w:rsid w:val="00F240F5"/>
    <w:rsid w:val="00F3589A"/>
    <w:rsid w:val="00F44F70"/>
    <w:rsid w:val="00F5308E"/>
    <w:rsid w:val="00F62596"/>
    <w:rsid w:val="00F63F21"/>
    <w:rsid w:val="00F71A63"/>
    <w:rsid w:val="00F7510A"/>
    <w:rsid w:val="00F80327"/>
    <w:rsid w:val="00F8075F"/>
    <w:rsid w:val="00F80D54"/>
    <w:rsid w:val="00F814FC"/>
    <w:rsid w:val="00F83691"/>
    <w:rsid w:val="00F943E8"/>
    <w:rsid w:val="00F95728"/>
    <w:rsid w:val="00F965E1"/>
    <w:rsid w:val="00FB373F"/>
    <w:rsid w:val="00FB479D"/>
    <w:rsid w:val="00FD084F"/>
    <w:rsid w:val="00FD6A44"/>
    <w:rsid w:val="00FD70EE"/>
    <w:rsid w:val="00FE7F03"/>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hyperlink" Target="http://www.justicia.pr.gov/" TargetMode="Externa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Registro%20de%20la%20Propiedad/Registro%20de%20la%20Propiedad.pdf"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Informaci&#243;n%20General%20de%20la%20OPG/OPG-001-Informacion%20General%20del%20OPG.pdf"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spnavigation.respondcrm.com/AppViewer.html?q=https://311prkb.respondcrm.com/respondweb/Informaci&#243;n%20General%20de%20la%20SIJC/SIJC-001-Informacion%20General%20de%20la%20SIJC.pdf"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navigation.respondcrm.com/AppViewer.html?q=https://311prkb.respondcrm.com/respondweb/DJ-Directorio%20de%20Agencia/DJ-000-Directorio%20de%20Agencia.pdf"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ilva\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85</Agency>
    <TemplateVersion xmlns="c63a64ab-6922-4be8-848c-54544df1c2a8">Operador</TemplateVersion>
    <Category xmlns="c63a64ab-6922-4be8-848c-54544df1c2a8">3</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F43D4-2A56-4C13-8F96-0DFEF8B9A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64242-1984-463F-B6A7-ED89B6388BC5}">
  <ds:schemaRefs>
    <ds:schemaRef ds:uri="http://schemas.microsoft.com/sharepoint/v3/contenttype/forms"/>
  </ds:schemaRefs>
</ds:datastoreItem>
</file>

<file path=customXml/itemProps3.xml><?xml version="1.0" encoding="utf-8"?>
<ds:datastoreItem xmlns:ds="http://schemas.openxmlformats.org/officeDocument/2006/customXml" ds:itemID="{5FB75466-4127-4EE6-9E8F-8F17CEBF5B41}">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9A1E0B23-928E-4B5E-A6B9-CAF2E969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5</TotalTime>
  <Pages>3</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Información General del DJ</vt:lpstr>
    </vt:vector>
  </TitlesOfParts>
  <Company>Hewlett-Packard Company</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del DJ</dc:title>
  <dc:subject>Información General</dc:subject>
  <dc:creator>3-1-1 Tu Línea de Servicios de Gobierno</dc:creator>
  <cp:keywords>DJ</cp:keywords>
  <cp:lastModifiedBy>respondadmin</cp:lastModifiedBy>
  <cp:revision>9</cp:revision>
  <cp:lastPrinted>2012-07-25T13:16:00Z</cp:lastPrinted>
  <dcterms:created xsi:type="dcterms:W3CDTF">2012-11-21T15:17:00Z</dcterms:created>
  <dcterms:modified xsi:type="dcterms:W3CDTF">2016-01-05T17:25:00Z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