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70FD2B0" wp14:editId="2512838E">
                  <wp:extent cx="267335" cy="276225"/>
                  <wp:effectExtent l="19050" t="0" r="0" b="0"/>
                  <wp:docPr id="378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DA2D55" w:rsidRDefault="00DA2D55" w:rsidP="00DA2D55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A2D55">
        <w:rPr>
          <w:rFonts w:asciiTheme="minorHAnsi" w:hAnsiTheme="minorHAnsi" w:cstheme="minorHAnsi"/>
          <w:sz w:val="22"/>
          <w:szCs w:val="22"/>
          <w:lang w:val="es-PR"/>
        </w:rPr>
        <w:t>El Instituto de Ciencias Forenses garantiza mediante la participación e investigación científica un rol importante en el sistema de justicia criminal para esclarecer más allá de toda duda razonable las causas, modos y circunstancias de muertes y otros delitos a través de las ciencias forenses</w:t>
      </w:r>
      <w:r>
        <w:rPr>
          <w:rFonts w:asciiTheme="minorHAnsi" w:hAnsiTheme="minorHAnsi" w:cstheme="minorHAnsi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B01A8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23358E0" wp14:editId="66E57D23">
                  <wp:extent cx="276225" cy="276225"/>
                  <wp:effectExtent l="19050" t="0" r="9525" b="0"/>
                  <wp:docPr id="379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Default="00CD0DBA" w:rsidP="00F240F5">
      <w:pPr>
        <w:shd w:val="clear" w:color="auto" w:fill="FFFFFF"/>
        <w:spacing w:before="120" w:after="120" w:line="240" w:lineRule="auto"/>
        <w:rPr>
          <w:rFonts w:cs="Arial"/>
          <w:lang w:val="es-PR"/>
        </w:rPr>
      </w:pPr>
      <w:hyperlink r:id="rId14" w:history="1">
        <w:r w:rsidR="00DA2D55" w:rsidRPr="00DA2D55">
          <w:rPr>
            <w:rStyle w:val="Hyperlink"/>
            <w:rFonts w:cs="Arial"/>
            <w:lang w:val="es-PR"/>
          </w:rPr>
          <w:t>Directorio de ICF</w:t>
        </w:r>
      </w:hyperlink>
    </w:p>
    <w:p w:rsidR="00DA2D55" w:rsidRPr="00DA2D55" w:rsidRDefault="00DA2D55" w:rsidP="00DA2D5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A2D55">
        <w:rPr>
          <w:rFonts w:asciiTheme="minorHAnsi" w:hAnsiTheme="minorHAnsi" w:cstheme="minorHAnsi"/>
          <w:sz w:val="22"/>
          <w:szCs w:val="22"/>
        </w:rPr>
        <w:t xml:space="preserve">Transacciones en PR.GOV: </w:t>
      </w:r>
    </w:p>
    <w:p w:rsidR="00DA2D55" w:rsidRDefault="00DA2D55" w:rsidP="00DA2D55">
      <w:pPr>
        <w:pStyle w:val="Default"/>
        <w:numPr>
          <w:ilvl w:val="0"/>
          <w:numId w:val="31"/>
        </w:numPr>
        <w:spacing w:after="18"/>
        <w:rPr>
          <w:rFonts w:asciiTheme="minorHAnsi" w:hAnsiTheme="minorHAnsi" w:cstheme="minorHAnsi"/>
          <w:sz w:val="22"/>
          <w:szCs w:val="22"/>
          <w:lang w:val="en-US"/>
        </w:rPr>
      </w:pPr>
      <w:r w:rsidRPr="00DA2D55">
        <w:rPr>
          <w:rFonts w:asciiTheme="minorHAnsi" w:hAnsiTheme="minorHAnsi" w:cstheme="minorHAnsi"/>
          <w:sz w:val="22"/>
          <w:szCs w:val="22"/>
          <w:lang w:val="en-US"/>
        </w:rPr>
        <w:t xml:space="preserve">Starlims V10 </w:t>
      </w:r>
    </w:p>
    <w:p w:rsidR="00DA2D55" w:rsidRDefault="00DA2D55" w:rsidP="00DA2D55">
      <w:pPr>
        <w:pStyle w:val="Default"/>
        <w:numPr>
          <w:ilvl w:val="0"/>
          <w:numId w:val="31"/>
        </w:numPr>
        <w:spacing w:after="18"/>
        <w:rPr>
          <w:rFonts w:asciiTheme="minorHAnsi" w:hAnsiTheme="minorHAnsi" w:cstheme="minorHAnsi"/>
          <w:sz w:val="22"/>
          <w:szCs w:val="22"/>
          <w:lang w:val="en-US"/>
        </w:rPr>
      </w:pPr>
      <w:r w:rsidRPr="00DA2D55">
        <w:rPr>
          <w:rFonts w:asciiTheme="minorHAnsi" w:hAnsiTheme="minorHAnsi" w:cstheme="minorHAnsi"/>
          <w:sz w:val="22"/>
          <w:szCs w:val="22"/>
          <w:lang w:val="en-US"/>
        </w:rPr>
        <w:t xml:space="preserve">My Lims </w:t>
      </w:r>
    </w:p>
    <w:p w:rsidR="00DA2D55" w:rsidRDefault="00DA2D55" w:rsidP="00DA2D55">
      <w:pPr>
        <w:pStyle w:val="Default"/>
        <w:numPr>
          <w:ilvl w:val="0"/>
          <w:numId w:val="31"/>
        </w:numPr>
        <w:spacing w:after="18"/>
        <w:rPr>
          <w:rFonts w:asciiTheme="minorHAnsi" w:hAnsiTheme="minorHAnsi" w:cstheme="minorHAnsi"/>
          <w:sz w:val="22"/>
          <w:szCs w:val="22"/>
          <w:lang w:val="en-US"/>
        </w:rPr>
      </w:pPr>
      <w:r w:rsidRPr="00DA2D55">
        <w:rPr>
          <w:rFonts w:asciiTheme="minorHAnsi" w:hAnsiTheme="minorHAnsi" w:cstheme="minorHAnsi"/>
          <w:sz w:val="22"/>
          <w:szCs w:val="22"/>
          <w:lang w:val="en-US"/>
        </w:rPr>
        <w:t xml:space="preserve">BD Patología, Filemaker </w:t>
      </w:r>
    </w:p>
    <w:p w:rsidR="00DA2D55" w:rsidRDefault="00DA2D55" w:rsidP="00DA2D55">
      <w:pPr>
        <w:pStyle w:val="Default"/>
        <w:numPr>
          <w:ilvl w:val="0"/>
          <w:numId w:val="31"/>
        </w:numPr>
        <w:spacing w:after="18"/>
        <w:rPr>
          <w:rFonts w:asciiTheme="minorHAnsi" w:hAnsiTheme="minorHAnsi" w:cstheme="minorHAnsi"/>
          <w:sz w:val="22"/>
          <w:szCs w:val="22"/>
          <w:lang w:val="en-US"/>
        </w:rPr>
      </w:pPr>
      <w:r w:rsidRPr="00DA2D55">
        <w:rPr>
          <w:rFonts w:asciiTheme="minorHAnsi" w:hAnsiTheme="minorHAnsi" w:cstheme="minorHAnsi"/>
          <w:sz w:val="22"/>
          <w:szCs w:val="22"/>
        </w:rPr>
        <w:t xml:space="preserve">Saraweb </w:t>
      </w:r>
    </w:p>
    <w:p w:rsidR="00DA2D55" w:rsidRDefault="00DA2D55" w:rsidP="00DA2D55">
      <w:pPr>
        <w:pStyle w:val="Default"/>
        <w:numPr>
          <w:ilvl w:val="0"/>
          <w:numId w:val="31"/>
        </w:numPr>
        <w:spacing w:after="18"/>
        <w:rPr>
          <w:rFonts w:asciiTheme="minorHAnsi" w:hAnsiTheme="minorHAnsi" w:cstheme="minorHAnsi"/>
          <w:sz w:val="22"/>
          <w:szCs w:val="22"/>
          <w:lang w:val="en-US"/>
        </w:rPr>
      </w:pPr>
      <w:r w:rsidRPr="00DA2D55">
        <w:rPr>
          <w:rFonts w:asciiTheme="minorHAnsi" w:hAnsiTheme="minorHAnsi" w:cstheme="minorHAnsi"/>
          <w:sz w:val="22"/>
          <w:szCs w:val="22"/>
        </w:rPr>
        <w:t xml:space="preserve">Casos Funerarios </w:t>
      </w:r>
    </w:p>
    <w:p w:rsidR="00DA2D55" w:rsidRDefault="00DA2D55" w:rsidP="00DA2D55">
      <w:pPr>
        <w:pStyle w:val="Default"/>
        <w:numPr>
          <w:ilvl w:val="0"/>
          <w:numId w:val="31"/>
        </w:numPr>
        <w:spacing w:after="18"/>
        <w:rPr>
          <w:rFonts w:asciiTheme="minorHAnsi" w:hAnsiTheme="minorHAnsi" w:cstheme="minorHAnsi"/>
          <w:sz w:val="22"/>
          <w:szCs w:val="22"/>
          <w:lang w:val="en-US"/>
        </w:rPr>
      </w:pPr>
      <w:r w:rsidRPr="00DA2D55">
        <w:rPr>
          <w:rFonts w:asciiTheme="minorHAnsi" w:hAnsiTheme="minorHAnsi" w:cstheme="minorHAnsi"/>
          <w:sz w:val="22"/>
          <w:szCs w:val="22"/>
        </w:rPr>
        <w:t xml:space="preserve">Pasos para identificar Cadáveres </w:t>
      </w:r>
    </w:p>
    <w:p w:rsidR="00DA2D55" w:rsidRPr="00DA2D55" w:rsidRDefault="00DA2D55" w:rsidP="00DA2D55">
      <w:pPr>
        <w:pStyle w:val="Default"/>
        <w:numPr>
          <w:ilvl w:val="0"/>
          <w:numId w:val="31"/>
        </w:num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DA2D55">
        <w:rPr>
          <w:rFonts w:asciiTheme="minorHAnsi" w:hAnsiTheme="minorHAnsi" w:cstheme="minorHAnsi"/>
          <w:sz w:val="22"/>
          <w:szCs w:val="22"/>
        </w:rPr>
        <w:t xml:space="preserve">Personas No Identificadas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3E85F26" wp14:editId="749701E7">
                  <wp:extent cx="276225" cy="276225"/>
                  <wp:effectExtent l="19050" t="0" r="9525" b="0"/>
                  <wp:docPr id="380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2E0C50" w:rsidRPr="002E0C50" w:rsidRDefault="002E0C50" w:rsidP="0094250B">
      <w:pPr>
        <w:pStyle w:val="Default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E0C50">
        <w:rPr>
          <w:rFonts w:asciiTheme="minorHAnsi" w:hAnsiTheme="minorHAnsi" w:cstheme="minorHAnsi"/>
          <w:sz w:val="22"/>
          <w:szCs w:val="22"/>
        </w:rPr>
        <w:t xml:space="preserve">Algunos de los servicios ofrecidos por la agencia son los siguientes: </w:t>
      </w:r>
    </w:p>
    <w:p w:rsidR="002E0C50" w:rsidRDefault="002E0C50" w:rsidP="002E0C50">
      <w:pPr>
        <w:pStyle w:val="Default"/>
        <w:numPr>
          <w:ilvl w:val="0"/>
          <w:numId w:val="32"/>
        </w:numPr>
        <w:spacing w:after="138"/>
        <w:jc w:val="both"/>
        <w:rPr>
          <w:rFonts w:asciiTheme="minorHAnsi" w:hAnsiTheme="minorHAnsi" w:cstheme="minorHAnsi"/>
          <w:sz w:val="22"/>
          <w:szCs w:val="22"/>
        </w:rPr>
      </w:pPr>
      <w:r w:rsidRPr="002E0C50">
        <w:rPr>
          <w:rFonts w:asciiTheme="minorHAnsi" w:hAnsiTheme="minorHAnsi" w:cstheme="minorHAnsi"/>
          <w:sz w:val="22"/>
          <w:szCs w:val="22"/>
        </w:rPr>
        <w:t xml:space="preserve">Los servicios forenses de la agencia van dirigidos a diferentes entidades del sistema de justicia criminal como lo son: Departamento de Justicia, Policía de Puerto Rico, Tribunal General de Justicia, Policía Municipal, Tribunal Federal, Fiscalía Federal, Negociado de Investigaciones Federales, Negociado de Tabaco, Alcohol y Armas de Fuego y el Cuerpo de Bomberos de Puerto Rico. Además, ofrece servicios de pruebas de detección de sustancias controladas a agencias públicas y entidades privadas. </w:t>
      </w:r>
    </w:p>
    <w:p w:rsidR="002E0C50" w:rsidRDefault="002E0C50" w:rsidP="002E0C50">
      <w:pPr>
        <w:pStyle w:val="Default"/>
        <w:numPr>
          <w:ilvl w:val="0"/>
          <w:numId w:val="32"/>
        </w:numPr>
        <w:spacing w:after="138"/>
        <w:jc w:val="both"/>
        <w:rPr>
          <w:rFonts w:asciiTheme="minorHAnsi" w:hAnsiTheme="minorHAnsi" w:cstheme="minorHAnsi"/>
          <w:sz w:val="22"/>
          <w:szCs w:val="22"/>
        </w:rPr>
      </w:pPr>
      <w:r w:rsidRPr="002E0C50">
        <w:rPr>
          <w:rFonts w:asciiTheme="minorHAnsi" w:hAnsiTheme="minorHAnsi" w:cstheme="minorHAnsi"/>
          <w:sz w:val="22"/>
          <w:szCs w:val="22"/>
        </w:rPr>
        <w:t xml:space="preserve">Se ofrecen los servicios médico legales y toxicológicos a toda la población en los casos de muertes violentas o en toda clase de muerte en que se desconozcan las circunstancias de las mismas y en los casos de cremación. </w:t>
      </w:r>
    </w:p>
    <w:p w:rsidR="002E0C50" w:rsidRDefault="002E0C50" w:rsidP="002E0C50">
      <w:pPr>
        <w:pStyle w:val="Default"/>
        <w:numPr>
          <w:ilvl w:val="0"/>
          <w:numId w:val="32"/>
        </w:numPr>
        <w:spacing w:after="138"/>
        <w:jc w:val="both"/>
        <w:rPr>
          <w:rFonts w:asciiTheme="minorHAnsi" w:hAnsiTheme="minorHAnsi" w:cstheme="minorHAnsi"/>
          <w:sz w:val="22"/>
          <w:szCs w:val="22"/>
        </w:rPr>
      </w:pPr>
      <w:r w:rsidRPr="002E0C50">
        <w:rPr>
          <w:rFonts w:asciiTheme="minorHAnsi" w:hAnsiTheme="minorHAnsi" w:cstheme="minorHAnsi"/>
          <w:sz w:val="22"/>
          <w:szCs w:val="22"/>
        </w:rPr>
        <w:t xml:space="preserve">Servicio de Biblioteca - En la Biblioteca encontrarán literatura forense como: revistas y libros. </w:t>
      </w:r>
    </w:p>
    <w:p w:rsidR="002E0C50" w:rsidRPr="002E0C50" w:rsidRDefault="002E0C50" w:rsidP="002E0C50">
      <w:pPr>
        <w:pStyle w:val="Default"/>
        <w:numPr>
          <w:ilvl w:val="0"/>
          <w:numId w:val="32"/>
        </w:numPr>
        <w:spacing w:after="138"/>
        <w:jc w:val="both"/>
        <w:rPr>
          <w:rFonts w:asciiTheme="minorHAnsi" w:hAnsiTheme="minorHAnsi" w:cstheme="minorHAnsi"/>
          <w:sz w:val="22"/>
          <w:szCs w:val="22"/>
        </w:rPr>
      </w:pPr>
      <w:r w:rsidRPr="002E0C50">
        <w:rPr>
          <w:rFonts w:asciiTheme="minorHAnsi" w:hAnsiTheme="minorHAnsi" w:cstheme="minorHAnsi"/>
          <w:sz w:val="22"/>
          <w:szCs w:val="22"/>
        </w:rPr>
        <w:t xml:space="preserve">Se coordinan asesorías educacionales, entrevistas, charlas, talleres y conferencias. </w:t>
      </w:r>
    </w:p>
    <w:p w:rsidR="00BB772F" w:rsidRPr="00BB772F" w:rsidRDefault="00BB772F" w:rsidP="002E0C50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</w:p>
    <w:sectPr w:rsidR="00BB772F" w:rsidRPr="00BB772F" w:rsidSect="002E0C5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A6" w:rsidRDefault="00760DA6" w:rsidP="005501A9">
      <w:pPr>
        <w:spacing w:after="0" w:line="240" w:lineRule="auto"/>
      </w:pPr>
      <w:r>
        <w:separator/>
      </w:r>
    </w:p>
  </w:endnote>
  <w:endnote w:type="continuationSeparator" w:id="0">
    <w:p w:rsidR="00760DA6" w:rsidRDefault="00760DA6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8C" w:rsidRDefault="00B01A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2BA4C838" wp14:editId="6BA1D4CC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A6D88C0" wp14:editId="1724044C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B01A8C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B01A8C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8C" w:rsidRDefault="00B01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A6" w:rsidRDefault="00760DA6" w:rsidP="005501A9">
      <w:pPr>
        <w:spacing w:after="0" w:line="240" w:lineRule="auto"/>
      </w:pPr>
      <w:r>
        <w:separator/>
      </w:r>
    </w:p>
  </w:footnote>
  <w:footnote w:type="continuationSeparator" w:id="0">
    <w:p w:rsidR="00760DA6" w:rsidRDefault="00760DA6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8C" w:rsidRDefault="00B01A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156A88" wp14:editId="07A4A4D3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DE419A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ICF</w:t>
                          </w:r>
                          <w:r w:rsidR="004372B7"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DE419A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es-PR"/>
                      </w:rPr>
                      <w:t>ICF</w:t>
                    </w:r>
                    <w:r w:rsidR="004372B7"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DE419A">
      <w:rPr>
        <w:noProof/>
        <w:sz w:val="32"/>
        <w:szCs w:val="32"/>
        <w:lang w:val="es-PR"/>
      </w:rPr>
      <w:t>Insituto de Ciencias Forenses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8C" w:rsidRDefault="00B01A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BD7539"/>
    <w:multiLevelType w:val="hybridMultilevel"/>
    <w:tmpl w:val="132A7EB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E5605D"/>
    <w:multiLevelType w:val="hybridMultilevel"/>
    <w:tmpl w:val="4BAC579C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3200318"/>
    <w:multiLevelType w:val="hybridMultilevel"/>
    <w:tmpl w:val="92A67B52"/>
    <w:lvl w:ilvl="0" w:tplc="F8BA8B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6"/>
  </w:num>
  <w:num w:numId="3">
    <w:abstractNumId w:val="27"/>
  </w:num>
  <w:num w:numId="4">
    <w:abstractNumId w:val="31"/>
  </w:num>
  <w:num w:numId="5">
    <w:abstractNumId w:val="17"/>
  </w:num>
  <w:num w:numId="6">
    <w:abstractNumId w:val="13"/>
  </w:num>
  <w:num w:numId="7">
    <w:abstractNumId w:val="20"/>
  </w:num>
  <w:num w:numId="8">
    <w:abstractNumId w:val="11"/>
  </w:num>
  <w:num w:numId="9">
    <w:abstractNumId w:val="24"/>
  </w:num>
  <w:num w:numId="10">
    <w:abstractNumId w:val="10"/>
  </w:num>
  <w:num w:numId="11">
    <w:abstractNumId w:val="1"/>
  </w:num>
  <w:num w:numId="12">
    <w:abstractNumId w:val="30"/>
  </w:num>
  <w:num w:numId="13">
    <w:abstractNumId w:val="4"/>
  </w:num>
  <w:num w:numId="14">
    <w:abstractNumId w:val="25"/>
  </w:num>
  <w:num w:numId="15">
    <w:abstractNumId w:val="7"/>
  </w:num>
  <w:num w:numId="16">
    <w:abstractNumId w:val="19"/>
  </w:num>
  <w:num w:numId="17">
    <w:abstractNumId w:val="6"/>
  </w:num>
  <w:num w:numId="18">
    <w:abstractNumId w:val="22"/>
  </w:num>
  <w:num w:numId="19">
    <w:abstractNumId w:val="14"/>
  </w:num>
  <w:num w:numId="20">
    <w:abstractNumId w:val="21"/>
  </w:num>
  <w:num w:numId="21">
    <w:abstractNumId w:val="12"/>
  </w:num>
  <w:num w:numId="22">
    <w:abstractNumId w:val="2"/>
  </w:num>
  <w:num w:numId="23">
    <w:abstractNumId w:val="28"/>
  </w:num>
  <w:num w:numId="24">
    <w:abstractNumId w:val="29"/>
  </w:num>
  <w:num w:numId="25">
    <w:abstractNumId w:val="9"/>
  </w:num>
  <w:num w:numId="26">
    <w:abstractNumId w:val="0"/>
  </w:num>
  <w:num w:numId="27">
    <w:abstractNumId w:val="18"/>
  </w:num>
  <w:num w:numId="28">
    <w:abstractNumId w:val="16"/>
  </w:num>
  <w:num w:numId="29">
    <w:abstractNumId w:val="15"/>
  </w:num>
  <w:num w:numId="30">
    <w:abstractNumId w:val="3"/>
  </w:num>
  <w:num w:numId="31">
    <w:abstractNumId w:val="2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24C79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5F81"/>
    <w:rsid w:val="00087C7C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50D1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50EC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9349D"/>
    <w:rsid w:val="002A7ACF"/>
    <w:rsid w:val="002B5156"/>
    <w:rsid w:val="002B59DC"/>
    <w:rsid w:val="002C1753"/>
    <w:rsid w:val="002D1E0C"/>
    <w:rsid w:val="002D3544"/>
    <w:rsid w:val="002D3658"/>
    <w:rsid w:val="002D392D"/>
    <w:rsid w:val="002E0C50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83FBD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B49E5"/>
    <w:rsid w:val="004C2D1D"/>
    <w:rsid w:val="004D2A32"/>
    <w:rsid w:val="004D33BF"/>
    <w:rsid w:val="004D415A"/>
    <w:rsid w:val="004E0DAC"/>
    <w:rsid w:val="004E1CC2"/>
    <w:rsid w:val="004E2D30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65F4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00C7C"/>
    <w:rsid w:val="00614C19"/>
    <w:rsid w:val="00633154"/>
    <w:rsid w:val="00633522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60DA6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0061"/>
    <w:rsid w:val="007E1921"/>
    <w:rsid w:val="007E319D"/>
    <w:rsid w:val="007F0041"/>
    <w:rsid w:val="007F0327"/>
    <w:rsid w:val="007F6C93"/>
    <w:rsid w:val="007F7A59"/>
    <w:rsid w:val="00807397"/>
    <w:rsid w:val="00811DFB"/>
    <w:rsid w:val="00815B23"/>
    <w:rsid w:val="00817C0C"/>
    <w:rsid w:val="0082254D"/>
    <w:rsid w:val="00824CB0"/>
    <w:rsid w:val="00832CC3"/>
    <w:rsid w:val="00841D9E"/>
    <w:rsid w:val="008542CD"/>
    <w:rsid w:val="008713A9"/>
    <w:rsid w:val="008766CF"/>
    <w:rsid w:val="00877A45"/>
    <w:rsid w:val="008947B8"/>
    <w:rsid w:val="008A0367"/>
    <w:rsid w:val="008B7F12"/>
    <w:rsid w:val="008C479E"/>
    <w:rsid w:val="00910F3B"/>
    <w:rsid w:val="00916D37"/>
    <w:rsid w:val="00917173"/>
    <w:rsid w:val="009177F5"/>
    <w:rsid w:val="00920F3A"/>
    <w:rsid w:val="0092275F"/>
    <w:rsid w:val="0092289E"/>
    <w:rsid w:val="00924F05"/>
    <w:rsid w:val="00933418"/>
    <w:rsid w:val="0093666D"/>
    <w:rsid w:val="0094250B"/>
    <w:rsid w:val="00951825"/>
    <w:rsid w:val="00953728"/>
    <w:rsid w:val="009557F3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1EF2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1A8C"/>
    <w:rsid w:val="00B03DC9"/>
    <w:rsid w:val="00B10889"/>
    <w:rsid w:val="00B12BD1"/>
    <w:rsid w:val="00B26E30"/>
    <w:rsid w:val="00B34D73"/>
    <w:rsid w:val="00B424E7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72F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46CB"/>
    <w:rsid w:val="00C56D6C"/>
    <w:rsid w:val="00C57A67"/>
    <w:rsid w:val="00C614EA"/>
    <w:rsid w:val="00C62C17"/>
    <w:rsid w:val="00C7220A"/>
    <w:rsid w:val="00C77541"/>
    <w:rsid w:val="00C84847"/>
    <w:rsid w:val="00CA1937"/>
    <w:rsid w:val="00CD0DBA"/>
    <w:rsid w:val="00CD525F"/>
    <w:rsid w:val="00CD63D6"/>
    <w:rsid w:val="00CD66EA"/>
    <w:rsid w:val="00CF03B8"/>
    <w:rsid w:val="00CF2784"/>
    <w:rsid w:val="00CF6CE6"/>
    <w:rsid w:val="00D06C9C"/>
    <w:rsid w:val="00D17B23"/>
    <w:rsid w:val="00D21340"/>
    <w:rsid w:val="00D22047"/>
    <w:rsid w:val="00D33863"/>
    <w:rsid w:val="00D34073"/>
    <w:rsid w:val="00D34625"/>
    <w:rsid w:val="00D42014"/>
    <w:rsid w:val="00D57B36"/>
    <w:rsid w:val="00D7011E"/>
    <w:rsid w:val="00D7198C"/>
    <w:rsid w:val="00D72227"/>
    <w:rsid w:val="00D90302"/>
    <w:rsid w:val="00D97047"/>
    <w:rsid w:val="00DA2D55"/>
    <w:rsid w:val="00DA5FE2"/>
    <w:rsid w:val="00DA69B9"/>
    <w:rsid w:val="00DB009A"/>
    <w:rsid w:val="00DB20A5"/>
    <w:rsid w:val="00DB63E7"/>
    <w:rsid w:val="00DB7E70"/>
    <w:rsid w:val="00DC25B7"/>
    <w:rsid w:val="00DC7A7E"/>
    <w:rsid w:val="00DD0879"/>
    <w:rsid w:val="00DD55E4"/>
    <w:rsid w:val="00DD6814"/>
    <w:rsid w:val="00DE0030"/>
    <w:rsid w:val="00DE184B"/>
    <w:rsid w:val="00DE419A"/>
    <w:rsid w:val="00DE7393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453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3691"/>
    <w:rsid w:val="00F943E8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Default">
    <w:name w:val="Default"/>
    <w:rsid w:val="00DA2D5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Default">
    <w:name w:val="Default"/>
    <w:rsid w:val="00DA2D5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ICF-Directorio%20de%20Agencia/ICF-000-Directorio%20de%20Agencia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98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EA1B6-93AB-43BF-8E5D-80F8C14C0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BE753-8B3F-4C58-8413-75DBFAB68DA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A58D01A2-0CA7-4196-AE4A-629C20E76F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1BBD1C-A102-4991-9726-679B8BF8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del ICP</vt:lpstr>
    </vt:vector>
  </TitlesOfParts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ICF</dc:title>
  <dc:subject>Información General</dc:subject>
  <dc:creator>3-1-1 Tu Línea de Servicios de Gobierno</dc:creator>
  <cp:keywords>ICF</cp:keywords>
  <cp:lastModifiedBy>respondadmin</cp:lastModifiedBy>
  <cp:revision>6</cp:revision>
  <cp:lastPrinted>2012-08-19T20:27:00Z</cp:lastPrinted>
  <dcterms:created xsi:type="dcterms:W3CDTF">2012-11-05T13:51:00Z</dcterms:created>
  <dcterms:modified xsi:type="dcterms:W3CDTF">2016-01-05T17:25:00Z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