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4A1A7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4A1A73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A1A73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5DA193E" wp14:editId="5B07317E">
                  <wp:extent cx="267335" cy="276225"/>
                  <wp:effectExtent l="19050" t="0" r="0" b="0"/>
                  <wp:docPr id="10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4A1A73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A1A73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29669D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966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Autoridad de Acueductos y Alcantarillados tiene la responsabilidad de proveer a los habitantes de Puerto Rico un servicio adecuado de agua potable, de alcantarillado sanitario y de cualquier otro servicio o facilidad incidental o </w:t>
      </w:r>
      <w:r w:rsidR="004A1A73" w:rsidRPr="0029669D">
        <w:rPr>
          <w:rFonts w:asciiTheme="minorHAnsi" w:hAnsiTheme="minorHAnsi" w:cs="Arial"/>
          <w:color w:val="000000"/>
          <w:sz w:val="22"/>
          <w:szCs w:val="22"/>
          <w:lang w:val="es-PR"/>
        </w:rPr>
        <w:t>propia</w:t>
      </w:r>
      <w:r w:rsidR="0029669D" w:rsidRPr="002966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e</w:t>
      </w:r>
      <w:r w:rsidRPr="0029669D">
        <w:rPr>
          <w:rFonts w:asciiTheme="minorHAnsi" w:hAnsiTheme="minorHAnsi" w:cs="Arial"/>
          <w:color w:val="000000"/>
          <w:sz w:val="22"/>
          <w:szCs w:val="22"/>
          <w:lang w:val="es-PR"/>
        </w:rPr>
        <w:t>stos.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9669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29669D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966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D276B37" wp14:editId="3C48DDDE">
                  <wp:extent cx="276225" cy="276225"/>
                  <wp:effectExtent l="19050" t="0" r="9525" b="0"/>
                  <wp:docPr id="10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29669D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29669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5250FE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lang w:val="es-PR"/>
        </w:rPr>
      </w:pPr>
      <w:hyperlink r:id="rId14" w:history="1">
        <w:r w:rsidR="0049566C" w:rsidRPr="0029669D">
          <w:rPr>
            <w:rStyle w:val="Hyperlink"/>
            <w:rFonts w:cs="Arial"/>
            <w:lang w:val="es-PR"/>
          </w:rPr>
          <w:t>Directorio de AAA</w:t>
        </w:r>
      </w:hyperlink>
    </w:p>
    <w:p w:rsidR="00E9162E" w:rsidRDefault="00E9162E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color w:val="auto"/>
          <w:u w:val="none"/>
          <w:lang w:val="es-PR"/>
        </w:rPr>
      </w:pPr>
      <w:r w:rsidRPr="00E9162E">
        <w:rPr>
          <w:rStyle w:val="Hyperlink"/>
          <w:rFonts w:cs="Arial"/>
          <w:color w:val="auto"/>
          <w:u w:val="none"/>
          <w:lang w:val="es-PR"/>
        </w:rPr>
        <w:t>Transacciones en PR.GOV:</w:t>
      </w:r>
    </w:p>
    <w:p w:rsidR="00E9162E" w:rsidRPr="00E9162E" w:rsidRDefault="00E9162E" w:rsidP="00E9162E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lang w:val="es-PR"/>
        </w:rPr>
      </w:pPr>
      <w:r>
        <w:rPr>
          <w:rFonts w:cs="Arial"/>
          <w:lang w:val="es-PR"/>
        </w:rPr>
        <w:t>Pago Acueductos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9669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29669D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966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747307" wp14:editId="586DA42A">
                  <wp:extent cx="276225" cy="276225"/>
                  <wp:effectExtent l="19050" t="0" r="9525" b="0"/>
                  <wp:docPr id="10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69D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29669D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29669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29669D" w:rsidRDefault="0049566C" w:rsidP="00EC552F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29669D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29669D" w:rsidRDefault="0049566C" w:rsidP="00EC552F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29669D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EC552F" w:rsidRPr="0029669D" w:rsidRDefault="00EC552F" w:rsidP="00EC552F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lastRenderedPageBreak/>
        <w:t>Nuevo servicio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- se refiere a las residencias nuevas, que no han tenido previamente servicio de agua y/o alcantarillado, pero que tienen las facilidades de acometida. Entiéndase proyectos o viviendas de nueva construcción. También nuevas estructuras comerciales, industriales o de gobierno. </w:t>
      </w:r>
    </w:p>
    <w:p w:rsidR="00EC552F" w:rsidRPr="0029669D" w:rsidRDefault="00EC552F" w:rsidP="00EC552F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Actualización de datos del cliente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- cuando el cliente interesa actualizar los datos de su cuenta, entiéndase dirección postal y datos personales tales como los números de teléfono, número de licencia, seguro social, etc. </w:t>
      </w:r>
    </w:p>
    <w:p w:rsidR="00EC552F" w:rsidRPr="0029669D" w:rsidRDefault="00EC552F" w:rsidP="00EC552F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Activar servicio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– cuando un cliente necesita instalar y/o registrar el servicio de agua a su nombre en una residencia o propiedad que ha tenido servicio de agua registrado anteriormente y actualmente está sin el servicio o está registrado a nombre del cliente anterior.</w:t>
      </w:r>
    </w:p>
    <w:p w:rsidR="00EC552F" w:rsidRPr="0029669D" w:rsidRDefault="00EC552F" w:rsidP="00EC552F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Transferencia de servicio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– cuando un cliente tiene una cuenta registrada a su nombre e interesa cerrar la cuenta actual para activar la cuenta en una nueva residencia o propiedad existente. En la mayoría de los casos no se requiere fianza o depósito porque se utiliza la fianza que tiene el cliente en la cuenta original. No obstante, en caso de ser necesario la AAA podrá actualizar el monto de la fianza a las tarifas actuales y se cobrará la diferencia al momento del trámite. </w:t>
      </w:r>
    </w:p>
    <w:p w:rsidR="00EC552F" w:rsidRPr="0029669D" w:rsidRDefault="00EC552F" w:rsidP="00EC552F">
      <w:pPr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>Si la transferencia es hacia una nueva construcción, se requieren los mismos documentos que para el trámite de "Nuevo Servicio" y si es una propiedad existente los del trámite de “Activar Servicio”. Servicio disponible a través de nuestro Centro de Servicios al Cliente, en la mayoría de los casos.</w:t>
      </w:r>
    </w:p>
    <w:p w:rsidR="00EC552F" w:rsidRPr="0029669D" w:rsidRDefault="00EC552F" w:rsidP="00EC552F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Solicitud de nueva conexión (Acometida)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- corresponde a la solicitud inicial cuando se adquiere un terreno o se construye una propiedad donde no existen las facilidades del servicio de agua y/o alcantarillado. </w:t>
      </w: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Este trámite deberá ser realizado en la oficina comercial que atiende su cuenta, preferiblemente.</w:t>
      </w:r>
    </w:p>
    <w:p w:rsidR="00EC552F" w:rsidRPr="0029669D" w:rsidRDefault="00EC552F" w:rsidP="00EC552F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Reconexión del servicio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</w:t>
      </w: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(Suspendido por falta de pago)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- cuando la AAA suspende el servicio de agua y/o alcantarillado en la residencia o propiedad. El cliente deberá visitar la oficina comercial 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lastRenderedPageBreak/>
        <w:t xml:space="preserve">que atiende su cuenta para saldar el balance de la cuenta, incluyendo el cargo por reconexión del servicio, para que la AAA pueda instalarle el servicio nuevamente. </w:t>
      </w:r>
    </w:p>
    <w:p w:rsidR="00EC552F" w:rsidRPr="0029669D" w:rsidRDefault="00EC552F" w:rsidP="006C590D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 xml:space="preserve">Suspensión de servicio </w:t>
      </w:r>
      <w:r w:rsidR="0029669D"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ha</w:t>
      </w: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 xml:space="preserve"> pedido del cliente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– cuando el cliente solicita el cierre del servicio de agua y/o alcantarillado en su residencia o propiedad. Servicio disponible a través de</w:t>
      </w:r>
      <w:r w:rsidR="005B38AF"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>l</w:t>
      </w:r>
      <w:r w:rsidRPr="0029669D">
        <w:rPr>
          <w:rFonts w:asciiTheme="minorHAnsi" w:eastAsia="Times New Roman" w:hAnsiTheme="minorHAnsi" w:cstheme="minorHAnsi"/>
          <w:color w:val="000000"/>
          <w:lang w:val="es-PR" w:eastAsia="es-ES_tradnl"/>
        </w:rPr>
        <w:t xml:space="preserve"> Centro de Servicios al Cliente, en la mayoría de los casos.</w:t>
      </w:r>
    </w:p>
    <w:p w:rsidR="00EC552F" w:rsidRPr="0029669D" w:rsidRDefault="00EC552F" w:rsidP="006C590D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asciiTheme="minorHAnsi" w:eastAsia="Times New Roman" w:hAnsiTheme="minorHAnsi" w:cstheme="minorHAnsi"/>
          <w:bCs/>
          <w:color w:val="000000"/>
          <w:lang w:val="es-PR" w:eastAsia="es-ES_tradnl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>Devolución de balance a favor del cliente</w:t>
      </w:r>
      <w:r w:rsidRPr="0029669D">
        <w:rPr>
          <w:rFonts w:asciiTheme="minorHAnsi" w:eastAsia="Times New Roman" w:hAnsiTheme="minorHAnsi" w:cstheme="minorHAnsi"/>
          <w:bCs/>
          <w:color w:val="000000"/>
          <w:lang w:val="es-PR" w:eastAsia="es-ES_tradnl"/>
        </w:rPr>
        <w:t xml:space="preserve"> - Cuando el cliente recibe la factura con algún balance a su favor. Para realizar el trámite por correo puede enviar una carta firmada, solicitando la devolución del balance a su favor, a la dirección postal de la oficina comercial que atiende su cuenta e incluir fotocopia de una identificación con foto junto a la información más adelante indicada. También el cliente podrá solicitar la transferencia del balance a su favor a otra cuenta activa que esté a su nombre. El balance a su favor no es transferible a otro cliente. En algunos casos, dependiendo del monto a re</w:t>
      </w:r>
      <w:r w:rsidR="00467925">
        <w:rPr>
          <w:rFonts w:asciiTheme="minorHAnsi" w:eastAsia="Times New Roman" w:hAnsiTheme="minorHAnsi" w:cstheme="minorHAnsi"/>
          <w:bCs/>
          <w:color w:val="000000"/>
          <w:lang w:val="es-PR" w:eastAsia="es-ES_tradnl"/>
        </w:rPr>
        <w:t>e</w:t>
      </w:r>
      <w:r w:rsidRPr="0029669D">
        <w:rPr>
          <w:rFonts w:asciiTheme="minorHAnsi" w:eastAsia="Times New Roman" w:hAnsiTheme="minorHAnsi" w:cstheme="minorHAnsi"/>
          <w:bCs/>
          <w:color w:val="000000"/>
          <w:lang w:val="es-PR" w:eastAsia="es-ES_tradnl"/>
        </w:rPr>
        <w:t xml:space="preserve">mbolsar, el cliente podrá solicitar y recibir el balance a su favor en la oficina comercial que atiende su cuenta. Es importante que la persona que realiza el trámite sea el cliente que aparece registrado en la cuenta y al momento de la solicitud presente una identificación con foto. </w:t>
      </w:r>
    </w:p>
    <w:p w:rsidR="006C590D" w:rsidRPr="0029669D" w:rsidRDefault="006C590D" w:rsidP="006C590D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29669D">
        <w:rPr>
          <w:rFonts w:asciiTheme="minorHAnsi" w:eastAsia="Times New Roman" w:hAnsiTheme="minorHAnsi" w:cstheme="minorHAnsi"/>
          <w:b/>
          <w:bCs/>
          <w:color w:val="000000"/>
          <w:lang w:val="es-PR" w:eastAsia="es-ES_tradnl"/>
        </w:rPr>
        <w:t xml:space="preserve">Pago de facturas </w:t>
      </w:r>
    </w:p>
    <w:p w:rsidR="0049566C" w:rsidRPr="0029669D" w:rsidRDefault="0049566C" w:rsidP="00EC552F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29669D" w:rsidSect="0049566C">
      <w:headerReference w:type="default" r:id="rId22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9D" w:rsidRDefault="0029669D" w:rsidP="005501A9">
      <w:pPr>
        <w:spacing w:after="0" w:line="240" w:lineRule="auto"/>
      </w:pPr>
      <w:r>
        <w:separator/>
      </w:r>
    </w:p>
  </w:endnote>
  <w:endnote w:type="continuationSeparator" w:id="0">
    <w:p w:rsidR="0029669D" w:rsidRDefault="0029669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9A" w:rsidRDefault="009B5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9669D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9669D" w:rsidRPr="00A625BF" w:rsidRDefault="0029669D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765760" behindDoc="0" locked="0" layoutInCell="1" allowOverlap="1" wp14:anchorId="3B4FC64F" wp14:editId="7E779D09">
                <wp:simplePos x="0" y="0"/>
                <wp:positionH relativeFrom="column">
                  <wp:posOffset>-441325</wp:posOffset>
                </wp:positionH>
                <wp:positionV relativeFrom="paragraph">
                  <wp:posOffset>126365</wp:posOffset>
                </wp:positionV>
                <wp:extent cx="328295" cy="255905"/>
                <wp:effectExtent l="0" t="0" r="0" b="0"/>
                <wp:wrapSquare wrapText="bothSides"/>
                <wp:docPr id="10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67808" behindDoc="0" locked="0" layoutInCell="1" allowOverlap="1" wp14:anchorId="4DD06864" wp14:editId="4F41A39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04" name="AutoShap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4" o:spid="_x0000_s1026" type="#_x0000_t32" style="position:absolute;margin-left:-35.9pt;margin-top:3.1pt;width:471.3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3+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WQo3+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9669D" w:rsidRPr="00A625BF" w:rsidRDefault="003253D2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9669D" w:rsidRPr="00A625BF" w:rsidRDefault="0029669D" w:rsidP="003253D2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3253D2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="003253D2">
            <w:rPr>
              <w:rFonts w:asciiTheme="minorHAnsi" w:eastAsiaTheme="minorHAnsi" w:hAnsiTheme="minorHAnsi" w:cstheme="minorBidi"/>
              <w:lang w:val="es-PR"/>
            </w:rPr>
            <w:instrText xml:space="preserve"> PAGE   \* MERGEFORMAT </w:instrText>
          </w:r>
          <w:r w:rsidR="003253D2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250F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3253D2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="003253D2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de </w:t>
          </w:r>
          <w:r w:rsidR="003253D2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="003253D2">
            <w:rPr>
              <w:rFonts w:asciiTheme="minorHAnsi" w:eastAsiaTheme="minorHAnsi" w:hAnsiTheme="minorHAnsi" w:cstheme="minorBidi"/>
              <w:lang w:val="es-PR"/>
            </w:rPr>
            <w:instrText xml:space="preserve"> SECTIONPAGES   \* MERGEFORMAT </w:instrText>
          </w:r>
          <w:r w:rsidR="003253D2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250F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3253D2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</w:p>
      </w:tc>
    </w:tr>
  </w:tbl>
  <w:p w:rsidR="0029669D" w:rsidRDefault="0029669D" w:rsidP="009B59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9A" w:rsidRDefault="009B5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9D" w:rsidRDefault="0029669D" w:rsidP="005501A9">
      <w:pPr>
        <w:spacing w:after="0" w:line="240" w:lineRule="auto"/>
      </w:pPr>
      <w:r>
        <w:separator/>
      </w:r>
    </w:p>
  </w:footnote>
  <w:footnote w:type="continuationSeparator" w:id="0">
    <w:p w:rsidR="0029669D" w:rsidRDefault="0029669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9A" w:rsidRDefault="009B5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D" w:rsidRDefault="0029669D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A8F5732" wp14:editId="0810EAFD">
              <wp:simplePos x="0" y="0"/>
              <wp:positionH relativeFrom="column">
                <wp:posOffset>4968875</wp:posOffset>
              </wp:positionH>
              <wp:positionV relativeFrom="paragraph">
                <wp:posOffset>54610</wp:posOffset>
              </wp:positionV>
              <wp:extent cx="1050290" cy="349250"/>
              <wp:effectExtent l="0" t="0" r="16510" b="13335"/>
              <wp:wrapNone/>
              <wp:docPr id="80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69D" w:rsidRPr="00815B23" w:rsidRDefault="0029669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AAA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29669D" w:rsidRPr="00815B23" w:rsidRDefault="0029669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91.25pt;margin-top:4.3pt;width:82.7pt;height:27.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">
              <v:textbox style="mso-fit-shape-to-text:t">
                <w:txbxContent>
                  <w:p w:rsidR="0029669D" w:rsidRPr="00815B23" w:rsidRDefault="0029669D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AAA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29669D" w:rsidRPr="00815B23" w:rsidRDefault="0029669D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Autoridad de Acueductos y Alcantarillados</w:t>
    </w:r>
    <w:r>
      <w:rPr>
        <w:noProof/>
        <w:sz w:val="32"/>
        <w:szCs w:val="32"/>
        <w:lang w:val="es-PR"/>
      </w:rPr>
      <w:t xml:space="preserve"> (AAA)</w:t>
    </w:r>
    <w:r>
      <w:rPr>
        <w:sz w:val="32"/>
        <w:szCs w:val="32"/>
        <w:lang w:val="es-PR"/>
      </w:rPr>
      <w:tab/>
    </w:r>
  </w:p>
  <w:p w:rsidR="0029669D" w:rsidRDefault="0029669D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29669D" w:rsidRDefault="0029669D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29669D" w:rsidRPr="001C2D5F" w:rsidRDefault="0029669D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9A" w:rsidRDefault="009B59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D" w:rsidRDefault="0029669D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8C8A5" wp14:editId="38561D5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69D" w:rsidRPr="00815B23" w:rsidRDefault="0029669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AAA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29669D" w:rsidRPr="00815B23" w:rsidRDefault="0029669D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87741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AAA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Autoridad de Acueductos y Alcantarillados</w:t>
    </w:r>
    <w:r>
      <w:rPr>
        <w:noProof/>
        <w:sz w:val="32"/>
        <w:szCs w:val="32"/>
        <w:lang w:val="es-PR"/>
      </w:rPr>
      <w:t xml:space="preserve"> (AAA)</w:t>
    </w:r>
    <w:r>
      <w:rPr>
        <w:sz w:val="32"/>
        <w:szCs w:val="32"/>
        <w:lang w:val="es-PR"/>
      </w:rPr>
      <w:tab/>
    </w:r>
  </w:p>
  <w:p w:rsidR="0029669D" w:rsidRDefault="0029669D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29669D" w:rsidRDefault="0029669D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29669D" w:rsidRPr="001C2D5F" w:rsidRDefault="0029669D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3364"/>
    <w:multiLevelType w:val="multilevel"/>
    <w:tmpl w:val="955C7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2F1F"/>
    <w:multiLevelType w:val="multilevel"/>
    <w:tmpl w:val="D7E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F3322"/>
    <w:multiLevelType w:val="multilevel"/>
    <w:tmpl w:val="D62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B75E4"/>
    <w:multiLevelType w:val="multilevel"/>
    <w:tmpl w:val="D5F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D585D"/>
    <w:multiLevelType w:val="multilevel"/>
    <w:tmpl w:val="70B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F258A"/>
    <w:multiLevelType w:val="hybridMultilevel"/>
    <w:tmpl w:val="B86CA2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6523C"/>
    <w:multiLevelType w:val="hybridMultilevel"/>
    <w:tmpl w:val="E234907A"/>
    <w:lvl w:ilvl="0" w:tplc="463839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547DA1"/>
    <w:multiLevelType w:val="multilevel"/>
    <w:tmpl w:val="A15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D47A1B"/>
    <w:multiLevelType w:val="multilevel"/>
    <w:tmpl w:val="5D3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176BAA"/>
    <w:multiLevelType w:val="multilevel"/>
    <w:tmpl w:val="70F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53B72"/>
    <w:multiLevelType w:val="multilevel"/>
    <w:tmpl w:val="776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39"/>
  </w:num>
  <w:num w:numId="5">
    <w:abstractNumId w:val="19"/>
  </w:num>
  <w:num w:numId="6">
    <w:abstractNumId w:val="14"/>
  </w:num>
  <w:num w:numId="7">
    <w:abstractNumId w:val="25"/>
  </w:num>
  <w:num w:numId="8">
    <w:abstractNumId w:val="11"/>
  </w:num>
  <w:num w:numId="9">
    <w:abstractNumId w:val="29"/>
  </w:num>
  <w:num w:numId="10">
    <w:abstractNumId w:val="10"/>
  </w:num>
  <w:num w:numId="11">
    <w:abstractNumId w:val="1"/>
  </w:num>
  <w:num w:numId="12">
    <w:abstractNumId w:val="36"/>
  </w:num>
  <w:num w:numId="13">
    <w:abstractNumId w:val="3"/>
  </w:num>
  <w:num w:numId="14">
    <w:abstractNumId w:val="30"/>
  </w:num>
  <w:num w:numId="15">
    <w:abstractNumId w:val="6"/>
  </w:num>
  <w:num w:numId="16">
    <w:abstractNumId w:val="23"/>
  </w:num>
  <w:num w:numId="17">
    <w:abstractNumId w:val="4"/>
  </w:num>
  <w:num w:numId="18">
    <w:abstractNumId w:val="27"/>
  </w:num>
  <w:num w:numId="19">
    <w:abstractNumId w:val="15"/>
  </w:num>
  <w:num w:numId="20">
    <w:abstractNumId w:val="26"/>
  </w:num>
  <w:num w:numId="21">
    <w:abstractNumId w:val="12"/>
  </w:num>
  <w:num w:numId="22">
    <w:abstractNumId w:val="2"/>
  </w:num>
  <w:num w:numId="23">
    <w:abstractNumId w:val="33"/>
  </w:num>
  <w:num w:numId="24">
    <w:abstractNumId w:val="34"/>
  </w:num>
  <w:num w:numId="25">
    <w:abstractNumId w:val="9"/>
  </w:num>
  <w:num w:numId="26">
    <w:abstractNumId w:val="0"/>
  </w:num>
  <w:num w:numId="27">
    <w:abstractNumId w:val="22"/>
  </w:num>
  <w:num w:numId="28">
    <w:abstractNumId w:val="17"/>
  </w:num>
  <w:num w:numId="29">
    <w:abstractNumId w:val="16"/>
  </w:num>
  <w:num w:numId="30">
    <w:abstractNumId w:val="20"/>
  </w:num>
  <w:num w:numId="31">
    <w:abstractNumId w:val="38"/>
  </w:num>
  <w:num w:numId="32">
    <w:abstractNumId w:val="8"/>
  </w:num>
  <w:num w:numId="33">
    <w:abstractNumId w:val="5"/>
  </w:num>
  <w:num w:numId="34">
    <w:abstractNumId w:val="35"/>
  </w:num>
  <w:num w:numId="35">
    <w:abstractNumId w:val="28"/>
  </w:num>
  <w:num w:numId="36">
    <w:abstractNumId w:val="37"/>
  </w:num>
  <w:num w:numId="37">
    <w:abstractNumId w:val="13"/>
  </w:num>
  <w:num w:numId="38">
    <w:abstractNumId w:val="18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8ED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55F0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863F5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16E5"/>
    <w:rsid w:val="002966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253D2"/>
    <w:rsid w:val="0033701A"/>
    <w:rsid w:val="00344E42"/>
    <w:rsid w:val="00353DB7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B5602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67925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1A73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50FE"/>
    <w:rsid w:val="00527066"/>
    <w:rsid w:val="00530C63"/>
    <w:rsid w:val="00532C7E"/>
    <w:rsid w:val="005376BC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0B18"/>
    <w:rsid w:val="005B17FD"/>
    <w:rsid w:val="005B2388"/>
    <w:rsid w:val="005B38AF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20C2"/>
    <w:rsid w:val="00655D34"/>
    <w:rsid w:val="00655E15"/>
    <w:rsid w:val="0066242C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967"/>
    <w:rsid w:val="006A5C1B"/>
    <w:rsid w:val="006B5A60"/>
    <w:rsid w:val="006B7DFA"/>
    <w:rsid w:val="006C1662"/>
    <w:rsid w:val="006C50A0"/>
    <w:rsid w:val="006C590D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41D9E"/>
    <w:rsid w:val="008542CD"/>
    <w:rsid w:val="00857C1D"/>
    <w:rsid w:val="00874C3E"/>
    <w:rsid w:val="008766CF"/>
    <w:rsid w:val="00877418"/>
    <w:rsid w:val="00877A45"/>
    <w:rsid w:val="008947B8"/>
    <w:rsid w:val="008A0367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B599A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AF3FCB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86240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15338"/>
    <w:rsid w:val="00C21DBC"/>
    <w:rsid w:val="00C22E14"/>
    <w:rsid w:val="00C26448"/>
    <w:rsid w:val="00C30F2D"/>
    <w:rsid w:val="00C56D6C"/>
    <w:rsid w:val="00C57A67"/>
    <w:rsid w:val="00C614EA"/>
    <w:rsid w:val="00C62C17"/>
    <w:rsid w:val="00C714B9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162E"/>
    <w:rsid w:val="00E94C68"/>
    <w:rsid w:val="00EB10E1"/>
    <w:rsid w:val="00EB12CC"/>
    <w:rsid w:val="00EB7ACD"/>
    <w:rsid w:val="00EC0600"/>
    <w:rsid w:val="00EC552F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04A1"/>
    <w:rsid w:val="00FB373F"/>
    <w:rsid w:val="00FB479D"/>
    <w:rsid w:val="00FD084F"/>
    <w:rsid w:val="00FD6A44"/>
    <w:rsid w:val="00FD70EE"/>
    <w:rsid w:val="00FF2A3F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style6">
    <w:name w:val="style6"/>
    <w:basedOn w:val="Normal"/>
    <w:rsid w:val="00EC5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style21">
    <w:name w:val="style21"/>
    <w:basedOn w:val="DefaultParagraphFont"/>
    <w:rsid w:val="00EC552F"/>
    <w:rPr>
      <w:sz w:val="17"/>
      <w:szCs w:val="17"/>
    </w:rPr>
  </w:style>
  <w:style w:type="character" w:customStyle="1" w:styleId="style61">
    <w:name w:val="style61"/>
    <w:basedOn w:val="DefaultParagraphFont"/>
    <w:rsid w:val="00EC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style6">
    <w:name w:val="style6"/>
    <w:basedOn w:val="Normal"/>
    <w:rsid w:val="00EC5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style21">
    <w:name w:val="style21"/>
    <w:basedOn w:val="DefaultParagraphFont"/>
    <w:rsid w:val="00EC552F"/>
    <w:rPr>
      <w:sz w:val="17"/>
      <w:szCs w:val="17"/>
    </w:rPr>
  </w:style>
  <w:style w:type="character" w:customStyle="1" w:styleId="style61">
    <w:name w:val="style61"/>
    <w:basedOn w:val="DefaultParagraphFont"/>
    <w:rsid w:val="00EC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1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01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808080"/>
                <w:bottom w:val="single" w:sz="2" w:space="0" w:color="808080"/>
                <w:right w:val="single" w:sz="2" w:space="0" w:color="000000"/>
              </w:divBdr>
              <w:divsChild>
                <w:div w:id="1007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21157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7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7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15450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8673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9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4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15156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4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7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17321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4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80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1543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5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914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14549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8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9DDCD9"/>
                        <w:left w:val="none" w:sz="0" w:space="0" w:color="auto"/>
                        <w:bottom w:val="single" w:sz="2" w:space="6" w:color="0000FF"/>
                        <w:right w:val="none" w:sz="0" w:space="0" w:color="auto"/>
                      </w:divBdr>
                    </w:div>
                    <w:div w:id="7129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1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AA-Directorio%20de%20Agencia/AA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3F75-D051-456B-B2E1-426628B4C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722A8-0573-4D35-B229-86D47482CC9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FDB5CA1-0C66-44A5-9C3E-0FB224BBC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C95E1-299F-4CCA-8AD4-93690285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General de la AAA</vt:lpstr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 la AAA</dc:title>
  <dc:subject>Información General</dc:subject>
  <dc:creator>3-1-1 Tu Línea de Servicios de Gobierno</dc:creator>
  <cp:keywords>AAA</cp:keywords>
  <cp:lastModifiedBy>respondadmin</cp:lastModifiedBy>
  <cp:revision>8</cp:revision>
  <cp:lastPrinted>2012-08-17T15:25:00Z</cp:lastPrinted>
  <dcterms:created xsi:type="dcterms:W3CDTF">2012-09-19T13:11:00Z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