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</w:t>
      </w:r>
      <w:r w:rsidR="00C25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sobre </w:t>
      </w:r>
      <w:r w:rsidR="00C257E1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proceso </w:t>
      </w:r>
      <w:r w:rsidR="000A6B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</w:t>
      </w:r>
      <w:r w:rsidR="00C257E1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radicar una querella </w:t>
      </w:r>
      <w:r w:rsidR="0007400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relacionada a estacionamientos </w:t>
      </w:r>
      <w:r w:rsidR="00F750F5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>cuando ocurr</w:t>
      </w:r>
      <w:r w:rsidR="00D4251D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F750F5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 pr</w:t>
      </w:r>
      <w:r w:rsidR="00F750F5">
        <w:rPr>
          <w:rFonts w:asciiTheme="minorHAnsi" w:hAnsiTheme="minorHAnsi" w:cs="Arial"/>
          <w:color w:val="000000"/>
          <w:sz w:val="22"/>
          <w:szCs w:val="22"/>
          <w:lang w:val="es-PR"/>
        </w:rPr>
        <w:t>á</w:t>
      </w:r>
      <w:r w:rsidR="00F750F5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ctica no deseable </w:t>
      </w:r>
      <w:r w:rsidR="00D4251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 parte del dueño u operador </w:t>
      </w:r>
      <w:r w:rsidR="00F750F5" w:rsidRPr="00F750F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algún </w:t>
      </w:r>
      <w:r w:rsidR="00D4251D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</w:t>
      </w:r>
      <w:r w:rsidR="0007400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C29D7" w:rsidRPr="00BC29D7" w:rsidRDefault="00052F8A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Consumidores</w:t>
      </w:r>
    </w:p>
    <w:p w:rsidR="002501E2" w:rsidRPr="00BC29D7" w:rsidRDefault="003C7A67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BC29D7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propósito es proveer un foro rápido</w:t>
      </w:r>
      <w:r w:rsidR="00D23233"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económico y eficaz para ventilar y resolver las que</w:t>
      </w:r>
      <w:r w:rsidR="000012BB"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>rellas radicadas por el consumidor</w:t>
      </w:r>
      <w:r w:rsidR="00F05ED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relacionada</w:t>
      </w:r>
      <w:r w:rsidR="00D4251D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F05ED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los estacionamientos</w:t>
      </w:r>
      <w:r w:rsidR="000012BB" w:rsidRPr="00BC29D7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FDE556" wp14:editId="33540A7B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83D7C" w:rsidRPr="00BC29D7" w:rsidRDefault="00183D7C" w:rsidP="00052F8A">
      <w:pPr>
        <w:pStyle w:val="ListParagraph"/>
        <w:numPr>
          <w:ilvl w:val="0"/>
          <w:numId w:val="33"/>
        </w:numPr>
        <w:spacing w:before="120" w:after="0"/>
        <w:rPr>
          <w:rFonts w:asciiTheme="minorHAnsi" w:hAnsiTheme="minorHAnsi" w:cs="Arial"/>
          <w:color w:val="000000"/>
          <w:lang w:val="es-PR"/>
        </w:rPr>
      </w:pPr>
      <w:r w:rsidRPr="00BC29D7">
        <w:rPr>
          <w:rFonts w:asciiTheme="minorHAnsi" w:hAnsiTheme="minorHAnsi" w:cs="Arial"/>
          <w:color w:val="000000"/>
          <w:lang w:val="es-PR"/>
        </w:rPr>
        <w:t xml:space="preserve">El vehículo tuvo que recibir daños para radicar una querella. </w:t>
      </w:r>
    </w:p>
    <w:p w:rsidR="00BE496B" w:rsidRPr="00BC29D7" w:rsidRDefault="0046492A" w:rsidP="00BE496B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BC29D7">
        <w:rPr>
          <w:rFonts w:asciiTheme="minorHAnsi" w:hAnsiTheme="minorHAnsi" w:cs="Arial"/>
          <w:color w:val="000000"/>
          <w:lang w:val="es-PR"/>
        </w:rPr>
        <w:t xml:space="preserve">En las oficinas del </w:t>
      </w:r>
      <w:r w:rsidRPr="00BC29D7">
        <w:rPr>
          <w:rFonts w:asciiTheme="minorHAnsi" w:eastAsia="Times New Roman" w:hAnsiTheme="minorHAnsi" w:cs="Arial"/>
          <w:color w:val="000000"/>
          <w:lang w:val="es-PR"/>
        </w:rPr>
        <w:t xml:space="preserve">Departamento de Asuntos del Consumidor </w:t>
      </w:r>
      <w:r w:rsidR="00213747" w:rsidRPr="00BC29D7">
        <w:rPr>
          <w:rFonts w:asciiTheme="minorHAnsi" w:eastAsia="Times New Roman" w:hAnsiTheme="minorHAnsi" w:cs="Arial"/>
          <w:color w:val="000000"/>
          <w:lang w:val="es-PR"/>
        </w:rPr>
        <w:t xml:space="preserve">se </w:t>
      </w:r>
      <w:r w:rsidRPr="00BC29D7">
        <w:rPr>
          <w:rFonts w:asciiTheme="minorHAnsi" w:eastAsia="Times New Roman" w:hAnsiTheme="minorHAnsi" w:cs="Arial"/>
          <w:color w:val="000000"/>
          <w:lang w:val="es-PR"/>
        </w:rPr>
        <w:t xml:space="preserve">atiende por </w:t>
      </w:r>
      <w:r w:rsidR="00737C4E" w:rsidRPr="00BC29D7">
        <w:rPr>
          <w:rFonts w:asciiTheme="minorHAnsi" w:eastAsia="Times New Roman" w:hAnsiTheme="minorHAnsi" w:cs="Arial"/>
          <w:color w:val="000000"/>
          <w:lang w:val="es-PR"/>
        </w:rPr>
        <w:t>o</w:t>
      </w:r>
      <w:r w:rsidRPr="00BC29D7">
        <w:rPr>
          <w:rFonts w:asciiTheme="minorHAnsi" w:eastAsia="Times New Roman" w:hAnsiTheme="minorHAnsi" w:cs="Arial"/>
          <w:color w:val="000000"/>
          <w:lang w:val="es-PR"/>
        </w:rPr>
        <w:t xml:space="preserve">rden de </w:t>
      </w:r>
      <w:r w:rsidR="00737C4E" w:rsidRPr="00BC29D7">
        <w:rPr>
          <w:rFonts w:asciiTheme="minorHAnsi" w:eastAsia="Times New Roman" w:hAnsiTheme="minorHAnsi" w:cs="Arial"/>
          <w:color w:val="000000"/>
          <w:lang w:val="es-PR"/>
        </w:rPr>
        <w:t>ll</w:t>
      </w:r>
      <w:r w:rsidRPr="00BC29D7">
        <w:rPr>
          <w:rFonts w:asciiTheme="minorHAnsi" w:eastAsia="Times New Roman" w:hAnsiTheme="minorHAnsi" w:cs="Arial"/>
          <w:color w:val="000000"/>
          <w:lang w:val="es-PR"/>
        </w:rPr>
        <w:t>egada</w:t>
      </w:r>
      <w:r w:rsidR="00213747" w:rsidRPr="00BC29D7">
        <w:rPr>
          <w:rFonts w:asciiTheme="minorHAnsi" w:eastAsia="Times New Roman" w:hAnsiTheme="minorHAnsi" w:cs="Arial"/>
          <w:color w:val="000000"/>
          <w:lang w:val="es-PR"/>
        </w:rPr>
        <w:t xml:space="preserve">.  </w:t>
      </w:r>
      <w:r w:rsidR="00BE496B" w:rsidRPr="00BC29D7">
        <w:rPr>
          <w:rFonts w:asciiTheme="minorHAnsi" w:eastAsia="Times New Roman" w:hAnsiTheme="minorHAnsi" w:cstheme="minorHAnsi"/>
          <w:color w:val="000000"/>
          <w:lang w:val="es-PR"/>
        </w:rPr>
        <w:t>Si le interesa solicitar orientación y/o radicar una querella, el DACO sugiere que llegue antes de las tres (3) de la tarde.</w:t>
      </w:r>
    </w:p>
    <w:p w:rsidR="00BE496B" w:rsidRPr="00BC29D7" w:rsidRDefault="00787148" w:rsidP="00BE496B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BC29D7">
        <w:rPr>
          <w:rFonts w:asciiTheme="minorHAnsi" w:hAnsiTheme="minorHAnsi" w:cs="Arial"/>
          <w:color w:val="000000"/>
          <w:lang w:val="es-PR"/>
        </w:rPr>
        <w:t xml:space="preserve">No hay un </w:t>
      </w:r>
      <w:r w:rsidR="007408F5" w:rsidRPr="00BC29D7">
        <w:rPr>
          <w:rFonts w:asciiTheme="minorHAnsi" w:hAnsiTheme="minorHAnsi" w:cs="Arial"/>
          <w:color w:val="000000"/>
          <w:lang w:val="es-PR"/>
        </w:rPr>
        <w:t>límite de</w:t>
      </w:r>
      <w:r w:rsidR="00672CCB" w:rsidRPr="00BC29D7">
        <w:rPr>
          <w:rFonts w:asciiTheme="minorHAnsi" w:hAnsiTheme="minorHAnsi" w:cs="Arial"/>
          <w:color w:val="000000"/>
          <w:lang w:val="es-PR"/>
        </w:rPr>
        <w:t xml:space="preserve"> </w:t>
      </w:r>
      <w:r w:rsidRPr="00BC29D7">
        <w:rPr>
          <w:rFonts w:asciiTheme="minorHAnsi" w:hAnsiTheme="minorHAnsi" w:cs="Arial"/>
          <w:color w:val="000000"/>
          <w:lang w:val="es-PR"/>
        </w:rPr>
        <w:t>tiempo determinado para radicar una querella</w:t>
      </w:r>
      <w:r w:rsidR="00BE496B" w:rsidRPr="00BC29D7">
        <w:rPr>
          <w:rFonts w:asciiTheme="minorHAnsi" w:hAnsiTheme="minorHAnsi" w:cstheme="minorHAnsi"/>
          <w:color w:val="000000"/>
          <w:lang w:val="es-PR"/>
        </w:rPr>
        <w:t xml:space="preserve"> excepto en la querellas relacionadas a condominios.</w:t>
      </w:r>
    </w:p>
    <w:p w:rsidR="00CE67E2" w:rsidRPr="00687A00" w:rsidRDefault="00BA650C" w:rsidP="00687A00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el querellante es </w:t>
      </w:r>
      <w:r w:rsidR="00847BD9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un menor de edad</w:t>
      </w:r>
      <w:r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éste </w:t>
      </w:r>
      <w:r w:rsidR="00847BD9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debe estar acompañado de</w:t>
      </w:r>
      <w:r w:rsidR="00A728A6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sus padres o </w:t>
      </w:r>
      <w:r w:rsidR="00847BD9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un tutor 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8F34D6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A625BF" w:rsidRDefault="008F34D6" w:rsidP="003518F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1E6BC5" wp14:editId="64192501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A625BF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Notas al Operador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E496B" w:rsidRDefault="00BE496B" w:rsidP="00BE496B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El operador del 3-1-1 deberá saber que 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 radicar una querella ante el DACO cuando éste espera recibir una compensación económica</w:t>
      </w:r>
      <w:r w:rsidR="00D4251D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o de otro tipo 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como resultado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Si el ciudadano solamente le interesa </w:t>
      </w:r>
      <w:r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>informar, quejarse o denunciar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realizará un referido por medio del Sistema de Manejo de Casos del 3-1-1 (RESPOND)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(ver plantilla </w:t>
      </w:r>
      <w:hyperlink r:id="rId16" w:history="1">
        <w:r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Orientación </w:t>
        </w:r>
        <w:r w:rsidR="007C25AE"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>S</w:t>
        </w:r>
        <w:r w:rsidR="00052F8A"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>obre Có</w:t>
        </w:r>
        <w:r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mo </w:t>
        </w:r>
        <w:r w:rsidR="007C25AE"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>P</w:t>
        </w:r>
        <w:r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resentar una Queja o Denuncia </w:t>
        </w:r>
        <w:r w:rsidR="00052F8A"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>ante</w:t>
        </w:r>
        <w:r w:rsidR="007C25AE" w:rsidRPr="002D448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DACO</w:t>
        </w:r>
      </w:hyperlink>
      <w:r>
        <w:rPr>
          <w:rFonts w:asciiTheme="minorHAnsi" w:hAnsiTheme="minorHAnsi" w:cstheme="minorHAnsi"/>
          <w:color w:val="000000"/>
          <w:lang w:val="es-PR"/>
        </w:rPr>
        <w:t>.)</w:t>
      </w:r>
    </w:p>
    <w:p w:rsidR="00D02FF8" w:rsidRPr="00FD05FD" w:rsidRDefault="00D02FF8" w:rsidP="00D02FF8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D02FF8">
        <w:rPr>
          <w:rFonts w:asciiTheme="minorHAnsi" w:hAnsiTheme="minorHAnsi" w:cstheme="minorHAnsi"/>
          <w:color w:val="000000"/>
          <w:lang w:val="es-PR"/>
        </w:rPr>
        <w:t>Si el  ciudadano preguntara por la posibilidad de radicar una querella en línea, se le informará que en este momento ese servicio esta en proceso de restructuración y que esperamos que este disponible próximamente.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668D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28A5EB" wp14:editId="2171EBE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692761" w:rsidRDefault="001F3047" w:rsidP="00783061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18" w:history="1">
        <w:r w:rsidR="00783061" w:rsidRPr="002D448D">
          <w:rPr>
            <w:rStyle w:val="Hyperlink"/>
            <w:rFonts w:asciiTheme="minorHAnsi" w:hAnsiTheme="minorHAnsi" w:cs="Arial"/>
            <w:lang w:val="es-PR"/>
          </w:rPr>
          <w:t>Directorio del Departamento de Asuntos del Consumidor</w:t>
        </w:r>
      </w:hyperlink>
    </w:p>
    <w:p w:rsidR="00DE184B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 w:rsidR="006C1662">
        <w:rPr>
          <w:rFonts w:asciiTheme="minorHAnsi" w:hAnsiTheme="minorHAnsi" w:cs="Arial"/>
          <w:b/>
          <w:color w:val="000000"/>
          <w:lang w:val="es-PR"/>
        </w:rPr>
        <w:tab/>
      </w:r>
      <w:r w:rsidR="007D40DD" w:rsidRPr="00783061">
        <w:rPr>
          <w:rFonts w:asciiTheme="minorHAnsi" w:hAnsiTheme="minorHAnsi" w:cs="Arial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PR"/>
        </w:rPr>
      </w:pP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  <w:t>C</w:t>
      </w:r>
      <w:r w:rsidRPr="009B6802">
        <w:rPr>
          <w:rFonts w:cs="Calibri"/>
          <w:color w:val="000000"/>
          <w:lang w:val="es-PR"/>
        </w:rPr>
        <w:t xml:space="preserve">entro Gubernamental Minillas </w:t>
      </w:r>
    </w:p>
    <w:p w:rsidR="00F22ABB" w:rsidRDefault="00F22ABB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PR"/>
        </w:rPr>
      </w:pP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 w:rsidR="00692761">
        <w:rPr>
          <w:rFonts w:cs="Calibri"/>
          <w:color w:val="000000"/>
          <w:lang w:val="es-PR"/>
        </w:rPr>
        <w:tab/>
      </w:r>
      <w:r w:rsidRPr="009B6802">
        <w:rPr>
          <w:rFonts w:cs="Calibri"/>
          <w:color w:val="000000"/>
          <w:lang w:val="es-PR"/>
        </w:rPr>
        <w:t>Torre Norte, Piso 8</w:t>
      </w:r>
    </w:p>
    <w:p w:rsidR="00692761" w:rsidRPr="009B6802" w:rsidRDefault="00F22ABB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PR"/>
        </w:rPr>
      </w:pPr>
      <w:r>
        <w:rPr>
          <w:rFonts w:cs="Calibri"/>
          <w:color w:val="000000"/>
          <w:lang w:val="es-PR"/>
        </w:rPr>
        <w:tab/>
      </w:r>
      <w:r w:rsidR="00692761">
        <w:rPr>
          <w:rFonts w:cs="Calibri"/>
          <w:color w:val="000000"/>
          <w:lang w:val="es-PR"/>
        </w:rPr>
        <w:tab/>
      </w:r>
      <w:r w:rsidR="00692761">
        <w:rPr>
          <w:rFonts w:cs="Calibri"/>
          <w:color w:val="000000"/>
          <w:lang w:val="es-PR"/>
        </w:rPr>
        <w:tab/>
      </w:r>
      <w:r w:rsidR="00692761">
        <w:rPr>
          <w:rFonts w:cs="Calibri"/>
          <w:color w:val="000000"/>
          <w:lang w:val="es-PR"/>
        </w:rPr>
        <w:tab/>
      </w:r>
      <w:r w:rsidR="00692761" w:rsidRPr="009B6802">
        <w:rPr>
          <w:rFonts w:cs="Calibri"/>
          <w:color w:val="000000"/>
          <w:lang w:val="es-PR"/>
        </w:rPr>
        <w:t>Ave. José de Diego Parada 22 Santurce</w:t>
      </w:r>
    </w:p>
    <w:p w:rsidR="00C817DE" w:rsidRDefault="00692761" w:rsidP="00687A0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PR"/>
        </w:rPr>
      </w:pP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>
        <w:rPr>
          <w:rFonts w:cs="Calibri"/>
          <w:color w:val="000000"/>
          <w:lang w:val="es-PR"/>
        </w:rPr>
        <w:tab/>
      </w:r>
      <w:r w:rsidRPr="009B6802">
        <w:rPr>
          <w:rFonts w:cs="Calibri"/>
          <w:color w:val="000000"/>
          <w:lang w:val="es-PR"/>
        </w:rPr>
        <w:t>San Juan, PR 00940-1059</w:t>
      </w:r>
    </w:p>
    <w:p w:rsidR="00D02FF8" w:rsidRDefault="00D02FF8" w:rsidP="00687A0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PR"/>
        </w:rPr>
      </w:pPr>
    </w:p>
    <w:p w:rsidR="00D02FF8" w:rsidRPr="00687A00" w:rsidRDefault="00D02FF8" w:rsidP="00687A0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val="es-PR"/>
        </w:rPr>
      </w:pPr>
    </w:p>
    <w:p w:rsidR="00783061" w:rsidRDefault="002241F3" w:rsidP="00692761">
      <w:pPr>
        <w:shd w:val="clear" w:color="auto" w:fill="FFFFFF"/>
        <w:spacing w:before="120" w:after="0" w:line="240" w:lineRule="auto"/>
        <w:ind w:left="360"/>
        <w:rPr>
          <w:rFonts w:cs="Arial"/>
          <w:color w:val="000000"/>
          <w:lang w:val="es-PR"/>
        </w:rPr>
      </w:pPr>
      <w:r w:rsidRPr="00783061">
        <w:rPr>
          <w:rFonts w:cs="Arial"/>
          <w:b/>
          <w:color w:val="000000"/>
          <w:lang w:val="es-PR"/>
        </w:rPr>
        <w:lastRenderedPageBreak/>
        <w:t>Horario:</w:t>
      </w:r>
      <w:r w:rsidR="006C1662" w:rsidRPr="00783061">
        <w:rPr>
          <w:rFonts w:cs="Arial"/>
          <w:color w:val="000000"/>
          <w:lang w:val="es-PR"/>
        </w:rPr>
        <w:tab/>
      </w:r>
      <w:r w:rsidR="00783061" w:rsidRPr="00783061">
        <w:rPr>
          <w:rFonts w:cs="Arial"/>
          <w:color w:val="000000"/>
          <w:lang w:val="es-PR"/>
        </w:rPr>
        <w:t>Lunes a Viernes</w:t>
      </w:r>
    </w:p>
    <w:p w:rsidR="00783061" w:rsidRPr="00E41C3D" w:rsidRDefault="00783061" w:rsidP="00692761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>
        <w:rPr>
          <w:rFonts w:cs="Arial"/>
          <w:b/>
          <w:color w:val="000000"/>
          <w:lang w:val="es-PR"/>
        </w:rPr>
        <w:tab/>
      </w:r>
      <w:r>
        <w:rPr>
          <w:rFonts w:cs="Arial"/>
          <w:b/>
          <w:color w:val="000000"/>
          <w:lang w:val="es-PR"/>
        </w:rPr>
        <w:tab/>
      </w:r>
      <w:r w:rsidRPr="00E41C3D">
        <w:rPr>
          <w:rFonts w:cs="Arial"/>
          <w:color w:val="000000"/>
        </w:rPr>
        <w:t>8:00am - 12:00pm</w:t>
      </w:r>
    </w:p>
    <w:p w:rsidR="00687A00" w:rsidRDefault="00783061" w:rsidP="00687A00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E41C3D">
        <w:rPr>
          <w:rFonts w:cs="Arial"/>
          <w:color w:val="000000"/>
        </w:rPr>
        <w:tab/>
      </w:r>
      <w:r w:rsidRPr="00E41C3D">
        <w:rPr>
          <w:rFonts w:cs="Arial"/>
          <w:color w:val="000000"/>
        </w:rPr>
        <w:tab/>
        <w:t>1:00pm – 4:</w:t>
      </w:r>
      <w:r w:rsidR="00F22ABB" w:rsidRPr="00E41C3D">
        <w:rPr>
          <w:rFonts w:cs="Arial"/>
          <w:color w:val="000000"/>
        </w:rPr>
        <w:t>0</w:t>
      </w:r>
      <w:r w:rsidRPr="00E41C3D">
        <w:rPr>
          <w:rFonts w:cs="Arial"/>
          <w:color w:val="000000"/>
        </w:rPr>
        <w:t>0pm</w:t>
      </w:r>
    </w:p>
    <w:p w:rsidR="00687A00" w:rsidRPr="00E41C3D" w:rsidRDefault="00687A00" w:rsidP="00687A00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</w:p>
    <w:p w:rsidR="00783061" w:rsidRPr="00E41C3D" w:rsidRDefault="00706AE9" w:rsidP="0093666D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E41C3D">
        <w:rPr>
          <w:rFonts w:cs="Arial"/>
          <w:b/>
          <w:color w:val="000000"/>
        </w:rPr>
        <w:t>Tel</w:t>
      </w:r>
      <w:r w:rsidR="0058498C" w:rsidRPr="00E41C3D">
        <w:rPr>
          <w:rFonts w:cs="Arial"/>
          <w:b/>
          <w:color w:val="000000"/>
        </w:rPr>
        <w:t>éfono:</w:t>
      </w:r>
      <w:r w:rsidR="0058498C" w:rsidRPr="00E41C3D">
        <w:rPr>
          <w:rFonts w:cs="Arial"/>
          <w:color w:val="000000"/>
        </w:rPr>
        <w:tab/>
      </w:r>
      <w:r w:rsidR="00783061" w:rsidRPr="00E41C3D">
        <w:rPr>
          <w:rFonts w:cs="Arial"/>
          <w:color w:val="000000"/>
        </w:rPr>
        <w:t>(787) 722-7555</w:t>
      </w:r>
    </w:p>
    <w:p w:rsidR="0093666D" w:rsidRPr="00783061" w:rsidRDefault="00783061" w:rsidP="0093666D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783061">
        <w:rPr>
          <w:rFonts w:cs="Arial"/>
          <w:b/>
          <w:color w:val="000000"/>
          <w:lang w:val="es-PR"/>
        </w:rPr>
        <w:t>Fax:</w:t>
      </w:r>
      <w:r>
        <w:rPr>
          <w:rFonts w:cs="Arial"/>
          <w:b/>
          <w:color w:val="000000"/>
          <w:lang w:val="es-PR"/>
        </w:rPr>
        <w:tab/>
      </w:r>
      <w:r w:rsidR="00D02FF8">
        <w:rPr>
          <w:rFonts w:cs="Arial"/>
          <w:color w:val="000000"/>
          <w:lang w:val="es-PR"/>
        </w:rPr>
        <w:t>no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668D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2E2DAD" wp14:editId="489B21DC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692761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02FF8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A7CDAA" wp14:editId="2F89D644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E496B" w:rsidRDefault="00D02FF8" w:rsidP="00BE496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BE496B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BE496B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BE496B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BE496B" w:rsidRDefault="00BE496B" w:rsidP="00052F8A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AF40D7" w:rsidRDefault="00AF40D7" w:rsidP="00AF40D7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val="es-PR" w:eastAsia="es-PR"/>
        </w:rPr>
      </w:pPr>
      <w:r w:rsidRPr="00AF40D7"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AF40D7" w:rsidRPr="00AF40D7" w:rsidRDefault="00AF40D7" w:rsidP="00AF40D7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val="es-PR" w:eastAsia="es-PR"/>
        </w:rPr>
      </w:pPr>
      <w:r w:rsidRPr="00AF40D7"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687A00" w:rsidRDefault="00BE496B" w:rsidP="00903DF7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momento que se hace oficial la misma.</w:t>
      </w:r>
    </w:p>
    <w:p w:rsidR="00903DF7" w:rsidRPr="00687A00" w:rsidRDefault="00903DF7" w:rsidP="00687A00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687A00">
        <w:rPr>
          <w:rFonts w:asciiTheme="minorHAnsi" w:hAnsiTheme="minorHAnsi" w:cstheme="minorHAnsi"/>
          <w:b/>
          <w:color w:val="000000"/>
          <w:u w:val="single"/>
          <w:lang w:val="es-PR"/>
        </w:rPr>
        <w:t>Documentos necesarios para someter una querella:</w:t>
      </w:r>
    </w:p>
    <w:p w:rsidR="00903DF7" w:rsidRPr="00903DF7" w:rsidRDefault="00052F8A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Nombre</w:t>
      </w:r>
      <w:r w:rsidR="00903DF7" w:rsidRPr="00903DF7">
        <w:rPr>
          <w:rFonts w:asciiTheme="minorHAnsi" w:hAnsiTheme="minorHAnsi" w:cstheme="minorHAnsi"/>
          <w:color w:val="000000"/>
          <w:lang w:val="es-PR"/>
        </w:rPr>
        <w:t xml:space="preserve">, dirección postal y </w:t>
      </w:r>
      <w:r>
        <w:rPr>
          <w:rFonts w:asciiTheme="minorHAnsi" w:hAnsiTheme="minorHAnsi" w:cstheme="minorHAnsi"/>
          <w:color w:val="000000"/>
          <w:lang w:val="es-PR"/>
        </w:rPr>
        <w:t>física</w:t>
      </w:r>
      <w:r w:rsidR="00903DF7" w:rsidRPr="00903DF7">
        <w:rPr>
          <w:rFonts w:asciiTheme="minorHAnsi" w:hAnsiTheme="minorHAnsi" w:cstheme="minorHAnsi"/>
          <w:color w:val="000000"/>
          <w:lang w:val="es-PR"/>
        </w:rPr>
        <w:t xml:space="preserve"> y teléfonos d</w:t>
      </w:r>
      <w:r>
        <w:rPr>
          <w:rFonts w:asciiTheme="minorHAnsi" w:hAnsiTheme="minorHAnsi" w:cstheme="minorHAnsi"/>
          <w:color w:val="000000"/>
          <w:lang w:val="es-PR"/>
        </w:rPr>
        <w:t>el operador del estacionamiento</w:t>
      </w:r>
    </w:p>
    <w:p w:rsidR="00903DF7" w:rsidRPr="00903DF7" w:rsidRDefault="00052F8A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Hoja de r</w:t>
      </w:r>
      <w:r w:rsidR="00903DF7" w:rsidRPr="00903DF7">
        <w:rPr>
          <w:rFonts w:asciiTheme="minorHAnsi" w:hAnsiTheme="minorHAnsi" w:cs="Arial"/>
          <w:color w:val="000000"/>
          <w:lang w:val="es-PR"/>
        </w:rPr>
        <w:t>eclamación que</w:t>
      </w:r>
      <w:r>
        <w:rPr>
          <w:rFonts w:asciiTheme="minorHAnsi" w:hAnsiTheme="minorHAnsi" w:cs="Arial"/>
          <w:color w:val="000000"/>
          <w:lang w:val="es-PR"/>
        </w:rPr>
        <w:t xml:space="preserve"> completó en el estacionamiento.</w:t>
      </w:r>
    </w:p>
    <w:p w:rsidR="00903DF7" w:rsidRDefault="00052F8A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Licencia del vehículo</w:t>
      </w:r>
    </w:p>
    <w:p w:rsidR="00903DF7" w:rsidRDefault="00052F8A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Estimado</w:t>
      </w:r>
      <w:r w:rsidR="00903DF7">
        <w:rPr>
          <w:rFonts w:asciiTheme="minorHAnsi" w:hAnsiTheme="minorHAnsi" w:cs="Arial"/>
          <w:color w:val="000000"/>
          <w:lang w:val="es-PR"/>
        </w:rPr>
        <w:t xml:space="preserve"> de los daños ocasionados a su vehículo preparado por una firma reconocida o factura de reparación o de costo del artículo hurtado. </w:t>
      </w:r>
    </w:p>
    <w:p w:rsidR="00903DF7" w:rsidRDefault="00A12057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Radicar una querella con</w:t>
      </w:r>
      <w:r w:rsidR="00052F8A">
        <w:rPr>
          <w:rFonts w:asciiTheme="minorHAnsi" w:hAnsiTheme="minorHAnsi" w:cs="Arial"/>
          <w:color w:val="000000"/>
          <w:lang w:val="es-PR"/>
        </w:rPr>
        <w:t xml:space="preserve"> la Policía</w:t>
      </w:r>
      <w:r>
        <w:rPr>
          <w:rFonts w:asciiTheme="minorHAnsi" w:hAnsiTheme="minorHAnsi" w:cs="Arial"/>
          <w:color w:val="000000"/>
          <w:lang w:val="es-PR"/>
        </w:rPr>
        <w:t xml:space="preserve"> de Puerto Rico y presentar la evidencia al momento de radicar la querella en el DACO.</w:t>
      </w:r>
    </w:p>
    <w:p w:rsidR="00903DF7" w:rsidRDefault="00052F8A" w:rsidP="00052F8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B</w:t>
      </w:r>
      <w:r w:rsidR="00903DF7">
        <w:rPr>
          <w:rFonts w:asciiTheme="minorHAnsi" w:hAnsiTheme="minorHAnsi" w:cs="Arial"/>
          <w:color w:val="000000"/>
          <w:lang w:val="es-PR"/>
        </w:rPr>
        <w:t>oleto con el cual pagó el estacionamiento.</w:t>
      </w:r>
    </w:p>
    <w:p w:rsidR="00C817DE" w:rsidRPr="00687A00" w:rsidRDefault="00052F8A" w:rsidP="00C817DE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F40D7">
        <w:rPr>
          <w:rFonts w:asciiTheme="minorHAnsi" w:hAnsiTheme="minorHAnsi" w:cstheme="minorHAnsi"/>
          <w:color w:val="000000"/>
          <w:lang w:val="es-PR"/>
        </w:rPr>
        <w:t>Cualquier otra evidencia como documentos</w:t>
      </w:r>
      <w:r w:rsidR="002661C0">
        <w:rPr>
          <w:rFonts w:asciiTheme="minorHAnsi" w:hAnsiTheme="minorHAnsi" w:cstheme="minorHAnsi"/>
          <w:color w:val="000000"/>
          <w:lang w:val="es-PR"/>
        </w:rPr>
        <w:t xml:space="preserve">, </w:t>
      </w:r>
      <w:r w:rsidRPr="00AF40D7">
        <w:rPr>
          <w:rFonts w:asciiTheme="minorHAnsi" w:hAnsiTheme="minorHAnsi" w:cstheme="minorHAnsi"/>
          <w:color w:val="000000"/>
          <w:lang w:val="es-PR"/>
        </w:rPr>
        <w:t xml:space="preserve">material </w:t>
      </w:r>
      <w:r w:rsidR="002661C0">
        <w:rPr>
          <w:rFonts w:asciiTheme="minorHAnsi" w:hAnsiTheme="minorHAnsi" w:cstheme="minorHAnsi"/>
          <w:color w:val="000000"/>
          <w:lang w:val="es-PR"/>
        </w:rPr>
        <w:t xml:space="preserve">o fotografías </w:t>
      </w:r>
      <w:r w:rsidRPr="00AF40D7">
        <w:rPr>
          <w:rFonts w:asciiTheme="minorHAnsi" w:hAnsiTheme="minorHAnsi" w:cstheme="minorHAnsi"/>
          <w:color w:val="000000"/>
          <w:lang w:val="es-PR"/>
        </w:rPr>
        <w:t xml:space="preserve">que tenga para sustentar </w:t>
      </w:r>
      <w:r w:rsidR="00AF40D7" w:rsidRPr="00AF40D7">
        <w:rPr>
          <w:rFonts w:asciiTheme="minorHAnsi" w:hAnsiTheme="minorHAnsi" w:cstheme="minorHAnsi"/>
          <w:color w:val="000000"/>
          <w:lang w:val="es-PR"/>
        </w:rPr>
        <w:t xml:space="preserve">el daño </w:t>
      </w:r>
      <w:r w:rsidR="002661C0">
        <w:rPr>
          <w:rFonts w:asciiTheme="minorHAnsi" w:hAnsiTheme="minorHAnsi" w:cstheme="minorHAnsi"/>
          <w:color w:val="000000"/>
          <w:lang w:val="es-PR"/>
        </w:rPr>
        <w:t>causado.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7330D1" wp14:editId="6024B86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BC29D7" w:rsidRDefault="00787148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C29D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El Departamento de Asuntos del Consumidor investiga las </w:t>
      </w:r>
      <w:r w:rsidR="002661C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alegaciones y evidencias de las </w:t>
      </w:r>
      <w:r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partes relacionadas en busca de una solución al problema o situación y en caso de no resolverse, se pasa a una vista administrativa donde se adjudica el caso y se establece una resolución final y firme. Si hay incumplimiento por parte del querellado, la División de Litigios radica una acción ante el Tribunal de Primera Instancia para hacer cumplir la orden.</w:t>
      </w:r>
    </w:p>
    <w:p w:rsidR="00737C4E" w:rsidRPr="00BC29D7" w:rsidRDefault="00737C4E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C29D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lastRenderedPageBreak/>
        <w:t>¿Cuánto tiempo  toma el proceso desde la radicación hasta la resolución de la situación de la querella?</w:t>
      </w:r>
      <w:r w:rsidR="00336D56" w:rsidRPr="00BC29D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</w:t>
      </w:r>
      <w:r w:rsidR="00D042EB" w:rsidRPr="00BC29D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</w:t>
      </w:r>
      <w:r w:rsidR="00D042EB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  <w:r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2661C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</w:t>
      </w:r>
      <w:r w:rsidR="0082353C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ciento veinte (120) días a ciento ochenta (180) días aproxim</w:t>
      </w:r>
      <w:r w:rsidR="00BC29D7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82353C" w:rsidRPr="00BC29D7">
        <w:rPr>
          <w:rFonts w:asciiTheme="minorHAnsi" w:hAnsiTheme="minorHAnsi" w:cs="Arial"/>
          <w:color w:val="000000"/>
          <w:sz w:val="22"/>
          <w:szCs w:val="22"/>
          <w:lang w:val="es-PR"/>
        </w:rPr>
        <w:t>damente.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8D4085" wp14:editId="54F102FC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2ABB" w:rsidRDefault="00F22ABB" w:rsidP="00D76DFF">
      <w:pPr>
        <w:shd w:val="clear" w:color="auto" w:fill="FFFFFF"/>
        <w:spacing w:before="120" w:after="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r>
        <w:rPr>
          <w:lang w:val="es-ES_tradnl"/>
        </w:rPr>
        <w:t xml:space="preserve">Página Web del </w:t>
      </w:r>
      <w:r w:rsidRPr="00783061">
        <w:rPr>
          <w:rFonts w:asciiTheme="minorHAnsi" w:hAnsiTheme="minorHAnsi" w:cs="Arial"/>
          <w:color w:val="000000"/>
          <w:lang w:val="es-PR"/>
        </w:rPr>
        <w:t>Departamento de Asuntos del Consumidor</w:t>
      </w:r>
      <w:r>
        <w:rPr>
          <w:rFonts w:asciiTheme="minorHAnsi" w:hAnsiTheme="minorHAnsi" w:cs="Arial"/>
          <w:color w:val="000000"/>
          <w:lang w:val="es-PR"/>
        </w:rPr>
        <w:t xml:space="preserve"> – </w:t>
      </w:r>
      <w:hyperlink r:id="rId23" w:history="1">
        <w:r w:rsidR="0046492A" w:rsidRPr="00DF3E9C">
          <w:rPr>
            <w:rStyle w:val="Hyperlink"/>
            <w:rFonts w:asciiTheme="minorHAnsi" w:hAnsiTheme="minorHAnsi" w:cs="Arial"/>
            <w:lang w:val="es-PR"/>
          </w:rPr>
          <w:t>http://www.daco.gobierno.pr</w:t>
        </w:r>
      </w:hyperlink>
    </w:p>
    <w:p w:rsidR="0046492A" w:rsidRDefault="00D76DFF" w:rsidP="00D76DFF">
      <w:pPr>
        <w:shd w:val="clear" w:color="auto" w:fill="FFFFFF"/>
        <w:spacing w:after="0" w:line="240" w:lineRule="auto"/>
        <w:rPr>
          <w:rFonts w:asciiTheme="minorHAnsi" w:hAnsiTheme="minorHAnsi" w:cs="Arial"/>
          <w:color w:val="FF0000"/>
          <w:u w:val="single"/>
          <w:lang w:val="es-PR"/>
        </w:rPr>
      </w:pPr>
      <w:r w:rsidRPr="00D76DFF">
        <w:rPr>
          <w:rFonts w:asciiTheme="minorHAnsi" w:hAnsiTheme="minorHAnsi" w:cs="Arial"/>
          <w:lang w:val="es-PR"/>
        </w:rPr>
        <w:t xml:space="preserve">Formulario </w:t>
      </w:r>
      <w:hyperlink r:id="rId24" w:history="1">
        <w:r w:rsidRPr="002D448D">
          <w:rPr>
            <w:rStyle w:val="Hyperlink"/>
            <w:rFonts w:asciiTheme="minorHAnsi" w:hAnsiTheme="minorHAnsi" w:cs="Arial"/>
            <w:color w:val="FF0000"/>
            <w:lang w:val="es-PR"/>
          </w:rPr>
          <w:t>Presentación Querella Estacionamiento</w:t>
        </w:r>
      </w:hyperlink>
    </w:p>
    <w:p w:rsidR="00410138" w:rsidRPr="00410138" w:rsidRDefault="00410138" w:rsidP="00410138">
      <w:pPr>
        <w:spacing w:after="0" w:line="240" w:lineRule="auto"/>
        <w:rPr>
          <w:color w:val="FF0000"/>
          <w:u w:val="single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5" w:history="1">
        <w:r w:rsidRPr="002D448D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D76DFF" w:rsidRDefault="00D76DFF" w:rsidP="00D76DFF">
      <w:pPr>
        <w:shd w:val="clear" w:color="auto" w:fill="FFFFFF"/>
        <w:spacing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r w:rsidRPr="00D76DFF">
        <w:rPr>
          <w:rFonts w:asciiTheme="minorHAnsi" w:hAnsiTheme="minorHAnsi" w:cs="Arial"/>
          <w:lang w:val="es-PR"/>
        </w:rPr>
        <w:t xml:space="preserve">Formulario </w:t>
      </w:r>
      <w:hyperlink r:id="rId26" w:history="1">
        <w:r w:rsidRPr="002D448D">
          <w:rPr>
            <w:rStyle w:val="Hyperlink"/>
            <w:rFonts w:asciiTheme="minorHAnsi" w:hAnsiTheme="minorHAnsi" w:cs="Arial"/>
            <w:color w:val="FF0000"/>
            <w:lang w:val="es-PR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52F8A" w:rsidRPr="00FD05FD" w:rsidTr="009B6731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52F8A" w:rsidRPr="00FD05FD" w:rsidRDefault="00052F8A" w:rsidP="009B673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661A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96D6E7" wp14:editId="1BBF0E0C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2F8A" w:rsidRPr="00FD05FD" w:rsidRDefault="00052F8A" w:rsidP="009B673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052F8A" w:rsidRDefault="00052F8A" w:rsidP="00052F8A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052F8A" w:rsidRDefault="00052F8A" w:rsidP="00052F8A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052F8A" w:rsidRDefault="00052F8A" w:rsidP="00052F8A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052F8A" w:rsidRDefault="00E41C3D" w:rsidP="00052F8A">
      <w:pPr>
        <w:spacing w:after="0"/>
        <w:rPr>
          <w:lang w:val="es-ES_tradnl"/>
        </w:rPr>
      </w:pPr>
      <w:r>
        <w:rPr>
          <w:lang w:val="es-ES_tradnl"/>
        </w:rPr>
        <w:t>YouTube</w:t>
      </w:r>
      <w:r w:rsidR="00052F8A">
        <w:rPr>
          <w:lang w:val="es-ES_tradnl"/>
        </w:rPr>
        <w:t>: DACO A TU FAVOR</w:t>
      </w:r>
    </w:p>
    <w:p w:rsidR="00052F8A" w:rsidRDefault="00052F8A" w:rsidP="00F22ABB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lang w:val="es-PR"/>
        </w:rPr>
      </w:pPr>
    </w:p>
    <w:sectPr w:rsidR="00052F8A" w:rsidSect="00D3407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4E" w:rsidRDefault="0031394E" w:rsidP="005501A9">
      <w:pPr>
        <w:spacing w:after="0" w:line="240" w:lineRule="auto"/>
      </w:pPr>
      <w:r>
        <w:separator/>
      </w:r>
    </w:p>
  </w:endnote>
  <w:endnote w:type="continuationSeparator" w:id="0">
    <w:p w:rsidR="0031394E" w:rsidRDefault="0031394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E" w:rsidRDefault="00197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2116869" wp14:editId="00DF6C0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63EE60A" wp14:editId="060BBD4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F304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F3047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E" w:rsidRDefault="00197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4E" w:rsidRDefault="0031394E" w:rsidP="005501A9">
      <w:pPr>
        <w:spacing w:after="0" w:line="240" w:lineRule="auto"/>
      </w:pPr>
      <w:r>
        <w:separator/>
      </w:r>
    </w:p>
  </w:footnote>
  <w:footnote w:type="continuationSeparator" w:id="0">
    <w:p w:rsidR="0031394E" w:rsidRDefault="0031394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E" w:rsidRDefault="00197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CFEB9" wp14:editId="7274EB2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098" w:rsidRDefault="005E709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007</w:t>
                          </w:r>
                        </w:p>
                        <w:p w:rsidR="00CF03B8" w:rsidRPr="00815B23" w:rsidRDefault="005E709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5E7098" w:rsidRDefault="005E709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007</w:t>
                    </w:r>
                  </w:p>
                  <w:p w:rsidR="00CF03B8" w:rsidRPr="00815B23" w:rsidRDefault="005E709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052F8A" w:rsidRDefault="00DB64A3" w:rsidP="00052F8A">
    <w:pPr>
      <w:spacing w:after="0" w:line="240" w:lineRule="auto"/>
      <w:rPr>
        <w:rFonts w:asciiTheme="minorHAnsi" w:hAnsiTheme="minorHAnsi" w:cs="Arial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Orientación</w:t>
    </w:r>
    <w:r w:rsidR="00785310" w:rsidRPr="00785310">
      <w:rPr>
        <w:rFonts w:asciiTheme="minorHAnsi" w:hAnsiTheme="minorHAnsi" w:cs="Arial"/>
        <w:b/>
        <w:sz w:val="28"/>
        <w:szCs w:val="28"/>
        <w:lang w:val="es-PR"/>
      </w:rPr>
      <w:t xml:space="preserve"> </w:t>
    </w:r>
    <w:r w:rsidR="00052F8A">
      <w:rPr>
        <w:rFonts w:asciiTheme="minorHAnsi" w:hAnsiTheme="minorHAnsi" w:cs="Arial"/>
        <w:b/>
        <w:sz w:val="28"/>
        <w:szCs w:val="28"/>
        <w:lang w:val="es-PR"/>
      </w:rPr>
      <w:t>S</w:t>
    </w:r>
    <w:r w:rsidR="007D40DD">
      <w:rPr>
        <w:rFonts w:asciiTheme="minorHAnsi" w:hAnsiTheme="minorHAnsi" w:cs="Arial"/>
        <w:b/>
        <w:sz w:val="28"/>
        <w:szCs w:val="28"/>
        <w:lang w:val="es-PR"/>
      </w:rPr>
      <w:t xml:space="preserve">obre </w:t>
    </w:r>
    <w:r w:rsidR="00052F8A">
      <w:rPr>
        <w:rFonts w:asciiTheme="minorHAnsi" w:hAnsiTheme="minorHAnsi" w:cs="Arial"/>
        <w:b/>
        <w:sz w:val="28"/>
        <w:szCs w:val="28"/>
        <w:lang w:val="es-PR"/>
      </w:rPr>
      <w:t xml:space="preserve">el Proceso de Radicar una </w:t>
    </w:r>
    <w:r w:rsidR="007D40DD">
      <w:rPr>
        <w:rFonts w:asciiTheme="minorHAnsi" w:hAnsiTheme="minorHAnsi" w:cs="Arial"/>
        <w:b/>
        <w:sz w:val="28"/>
        <w:szCs w:val="28"/>
        <w:lang w:val="es-PR"/>
      </w:rPr>
      <w:t>Querella</w:t>
    </w:r>
    <w:r w:rsidR="00052F8A">
      <w:rPr>
        <w:rFonts w:asciiTheme="minorHAnsi" w:hAnsiTheme="minorHAnsi" w:cs="Arial"/>
        <w:b/>
        <w:sz w:val="28"/>
        <w:szCs w:val="28"/>
        <w:lang w:val="es-PR"/>
      </w:rPr>
      <w:t xml:space="preserve"> </w:t>
    </w:r>
  </w:p>
  <w:p w:rsidR="00CF03B8" w:rsidRPr="00785310" w:rsidRDefault="00052F8A" w:rsidP="00052F8A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 w:cs="Arial"/>
        <w:b/>
        <w:sz w:val="28"/>
        <w:szCs w:val="28"/>
        <w:lang w:val="es-PR"/>
      </w:rPr>
      <w:t>R</w:t>
    </w:r>
    <w:r w:rsidR="00DB64A3">
      <w:rPr>
        <w:rFonts w:asciiTheme="minorHAnsi" w:hAnsiTheme="minorHAnsi" w:cs="Arial"/>
        <w:b/>
        <w:sz w:val="28"/>
        <w:szCs w:val="28"/>
        <w:lang w:val="es-PR"/>
      </w:rPr>
      <w:t>elacionada a Estacionamientos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E" w:rsidRDefault="00197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974"/>
    <w:multiLevelType w:val="hybridMultilevel"/>
    <w:tmpl w:val="4D18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79D8"/>
    <w:multiLevelType w:val="hybridMultilevel"/>
    <w:tmpl w:val="495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D86A5B"/>
    <w:multiLevelType w:val="hybridMultilevel"/>
    <w:tmpl w:val="4D18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556C"/>
    <w:multiLevelType w:val="hybridMultilevel"/>
    <w:tmpl w:val="BF0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AAA53B2"/>
    <w:multiLevelType w:val="hybridMultilevel"/>
    <w:tmpl w:val="DC8A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EB12E2"/>
    <w:multiLevelType w:val="hybridMultilevel"/>
    <w:tmpl w:val="52E2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712198"/>
    <w:multiLevelType w:val="hybridMultilevel"/>
    <w:tmpl w:val="3264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4"/>
  </w:num>
  <w:num w:numId="4">
    <w:abstractNumId w:val="41"/>
  </w:num>
  <w:num w:numId="5">
    <w:abstractNumId w:val="23"/>
  </w:num>
  <w:num w:numId="6">
    <w:abstractNumId w:val="19"/>
  </w:num>
  <w:num w:numId="7">
    <w:abstractNumId w:val="27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9"/>
  </w:num>
  <w:num w:numId="13">
    <w:abstractNumId w:val="3"/>
  </w:num>
  <w:num w:numId="14">
    <w:abstractNumId w:val="31"/>
  </w:num>
  <w:num w:numId="15">
    <w:abstractNumId w:val="8"/>
  </w:num>
  <w:num w:numId="16">
    <w:abstractNumId w:val="26"/>
  </w:num>
  <w:num w:numId="17">
    <w:abstractNumId w:val="7"/>
  </w:num>
  <w:num w:numId="18">
    <w:abstractNumId w:val="29"/>
  </w:num>
  <w:num w:numId="19">
    <w:abstractNumId w:val="20"/>
  </w:num>
  <w:num w:numId="20">
    <w:abstractNumId w:val="28"/>
  </w:num>
  <w:num w:numId="21">
    <w:abstractNumId w:val="15"/>
  </w:num>
  <w:num w:numId="22">
    <w:abstractNumId w:val="2"/>
  </w:num>
  <w:num w:numId="23">
    <w:abstractNumId w:val="35"/>
  </w:num>
  <w:num w:numId="24">
    <w:abstractNumId w:val="36"/>
  </w:num>
  <w:num w:numId="25">
    <w:abstractNumId w:val="12"/>
  </w:num>
  <w:num w:numId="26">
    <w:abstractNumId w:val="0"/>
  </w:num>
  <w:num w:numId="27">
    <w:abstractNumId w:val="25"/>
  </w:num>
  <w:num w:numId="28">
    <w:abstractNumId w:val="22"/>
  </w:num>
  <w:num w:numId="29">
    <w:abstractNumId w:val="21"/>
  </w:num>
  <w:num w:numId="30">
    <w:abstractNumId w:val="24"/>
  </w:num>
  <w:num w:numId="31">
    <w:abstractNumId w:val="5"/>
  </w:num>
  <w:num w:numId="32">
    <w:abstractNumId w:val="40"/>
  </w:num>
  <w:num w:numId="33">
    <w:abstractNumId w:val="17"/>
  </w:num>
  <w:num w:numId="34">
    <w:abstractNumId w:val="4"/>
  </w:num>
  <w:num w:numId="35">
    <w:abstractNumId w:val="16"/>
  </w:num>
  <w:num w:numId="36">
    <w:abstractNumId w:val="10"/>
  </w:num>
  <w:num w:numId="37">
    <w:abstractNumId w:val="33"/>
  </w:num>
  <w:num w:numId="38">
    <w:abstractNumId w:val="11"/>
  </w:num>
  <w:num w:numId="39">
    <w:abstractNumId w:val="38"/>
  </w:num>
  <w:num w:numId="40">
    <w:abstractNumId w:val="37"/>
  </w:num>
  <w:num w:numId="41">
    <w:abstractNumId w:val="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58BF"/>
    <w:rsid w:val="000517CD"/>
    <w:rsid w:val="00052F8A"/>
    <w:rsid w:val="00057000"/>
    <w:rsid w:val="000654F9"/>
    <w:rsid w:val="00066C33"/>
    <w:rsid w:val="000674D5"/>
    <w:rsid w:val="0007270C"/>
    <w:rsid w:val="00074000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1207"/>
    <w:rsid w:val="000A19E1"/>
    <w:rsid w:val="000A41BD"/>
    <w:rsid w:val="000A6877"/>
    <w:rsid w:val="000A6BA3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67B05"/>
    <w:rsid w:val="001728C4"/>
    <w:rsid w:val="00173985"/>
    <w:rsid w:val="00174283"/>
    <w:rsid w:val="00175C1F"/>
    <w:rsid w:val="00181A79"/>
    <w:rsid w:val="00182153"/>
    <w:rsid w:val="00183979"/>
    <w:rsid w:val="00183D7C"/>
    <w:rsid w:val="00184252"/>
    <w:rsid w:val="00185F44"/>
    <w:rsid w:val="001860B9"/>
    <w:rsid w:val="00191D71"/>
    <w:rsid w:val="00194922"/>
    <w:rsid w:val="00197A9E"/>
    <w:rsid w:val="001B4194"/>
    <w:rsid w:val="001B5E3B"/>
    <w:rsid w:val="001B6C87"/>
    <w:rsid w:val="001C147E"/>
    <w:rsid w:val="001C2D5F"/>
    <w:rsid w:val="001C4B1B"/>
    <w:rsid w:val="001C6D0F"/>
    <w:rsid w:val="001C7A01"/>
    <w:rsid w:val="001D1D50"/>
    <w:rsid w:val="001D586F"/>
    <w:rsid w:val="001D729C"/>
    <w:rsid w:val="001E1870"/>
    <w:rsid w:val="001E770C"/>
    <w:rsid w:val="001F3047"/>
    <w:rsid w:val="002004EC"/>
    <w:rsid w:val="0020276F"/>
    <w:rsid w:val="002036C5"/>
    <w:rsid w:val="00203A78"/>
    <w:rsid w:val="00204116"/>
    <w:rsid w:val="002069F5"/>
    <w:rsid w:val="002123C9"/>
    <w:rsid w:val="00213747"/>
    <w:rsid w:val="00214C2B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4E9E"/>
    <w:rsid w:val="00265792"/>
    <w:rsid w:val="002661C0"/>
    <w:rsid w:val="002669F2"/>
    <w:rsid w:val="0026787D"/>
    <w:rsid w:val="00267DA0"/>
    <w:rsid w:val="002734CB"/>
    <w:rsid w:val="0027646A"/>
    <w:rsid w:val="00277BF0"/>
    <w:rsid w:val="00281C8E"/>
    <w:rsid w:val="00285FF6"/>
    <w:rsid w:val="002908E3"/>
    <w:rsid w:val="002A7ACF"/>
    <w:rsid w:val="002B5156"/>
    <w:rsid w:val="002B5F33"/>
    <w:rsid w:val="002C1753"/>
    <w:rsid w:val="002C280C"/>
    <w:rsid w:val="002C51A9"/>
    <w:rsid w:val="002D1E0C"/>
    <w:rsid w:val="002D3544"/>
    <w:rsid w:val="002D3658"/>
    <w:rsid w:val="002D448D"/>
    <w:rsid w:val="002F030A"/>
    <w:rsid w:val="002F38A5"/>
    <w:rsid w:val="0030058C"/>
    <w:rsid w:val="003017A1"/>
    <w:rsid w:val="00303BF4"/>
    <w:rsid w:val="00303F35"/>
    <w:rsid w:val="00306286"/>
    <w:rsid w:val="00307F9A"/>
    <w:rsid w:val="0031394E"/>
    <w:rsid w:val="00314199"/>
    <w:rsid w:val="003160F3"/>
    <w:rsid w:val="00336D56"/>
    <w:rsid w:val="0033701A"/>
    <w:rsid w:val="00344E42"/>
    <w:rsid w:val="003458C1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3CF4"/>
    <w:rsid w:val="003F0271"/>
    <w:rsid w:val="003F3271"/>
    <w:rsid w:val="003F6F56"/>
    <w:rsid w:val="003F7B76"/>
    <w:rsid w:val="003F7EF4"/>
    <w:rsid w:val="004012B7"/>
    <w:rsid w:val="00406783"/>
    <w:rsid w:val="00410138"/>
    <w:rsid w:val="00412C48"/>
    <w:rsid w:val="004217AC"/>
    <w:rsid w:val="004241F6"/>
    <w:rsid w:val="0043005F"/>
    <w:rsid w:val="00434497"/>
    <w:rsid w:val="00435201"/>
    <w:rsid w:val="00445105"/>
    <w:rsid w:val="0045290B"/>
    <w:rsid w:val="004529FC"/>
    <w:rsid w:val="004548F1"/>
    <w:rsid w:val="00455584"/>
    <w:rsid w:val="00456683"/>
    <w:rsid w:val="0046492A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F59"/>
    <w:rsid w:val="004D2A32"/>
    <w:rsid w:val="004D33BF"/>
    <w:rsid w:val="004D415A"/>
    <w:rsid w:val="004E0DAC"/>
    <w:rsid w:val="004E1CC2"/>
    <w:rsid w:val="004F4209"/>
    <w:rsid w:val="004F559F"/>
    <w:rsid w:val="00502F13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31D4"/>
    <w:rsid w:val="0058498C"/>
    <w:rsid w:val="00590F9C"/>
    <w:rsid w:val="00591CEE"/>
    <w:rsid w:val="005A6C5F"/>
    <w:rsid w:val="005B2388"/>
    <w:rsid w:val="005C1B0C"/>
    <w:rsid w:val="005C1D13"/>
    <w:rsid w:val="005C33B7"/>
    <w:rsid w:val="005D2EE9"/>
    <w:rsid w:val="005D6FC4"/>
    <w:rsid w:val="005D72CC"/>
    <w:rsid w:val="005E7098"/>
    <w:rsid w:val="005F07EB"/>
    <w:rsid w:val="005F7447"/>
    <w:rsid w:val="00604ABE"/>
    <w:rsid w:val="00614C19"/>
    <w:rsid w:val="006269BC"/>
    <w:rsid w:val="00631C7A"/>
    <w:rsid w:val="00633154"/>
    <w:rsid w:val="00633672"/>
    <w:rsid w:val="00633E03"/>
    <w:rsid w:val="00644031"/>
    <w:rsid w:val="00655D34"/>
    <w:rsid w:val="00655E15"/>
    <w:rsid w:val="00661A7A"/>
    <w:rsid w:val="0066535D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A00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1262"/>
    <w:rsid w:val="00722794"/>
    <w:rsid w:val="00722911"/>
    <w:rsid w:val="00726CF4"/>
    <w:rsid w:val="007271F4"/>
    <w:rsid w:val="00735FB7"/>
    <w:rsid w:val="00737078"/>
    <w:rsid w:val="00737C4E"/>
    <w:rsid w:val="007408F5"/>
    <w:rsid w:val="007415A2"/>
    <w:rsid w:val="0074728C"/>
    <w:rsid w:val="00752E2F"/>
    <w:rsid w:val="00755A71"/>
    <w:rsid w:val="0076116F"/>
    <w:rsid w:val="00766060"/>
    <w:rsid w:val="00781E56"/>
    <w:rsid w:val="00783061"/>
    <w:rsid w:val="00785310"/>
    <w:rsid w:val="00787148"/>
    <w:rsid w:val="00790A6E"/>
    <w:rsid w:val="00793C85"/>
    <w:rsid w:val="007B1C6B"/>
    <w:rsid w:val="007B3534"/>
    <w:rsid w:val="007B4C53"/>
    <w:rsid w:val="007C089B"/>
    <w:rsid w:val="007C25AE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7397"/>
    <w:rsid w:val="00815B23"/>
    <w:rsid w:val="00817C0C"/>
    <w:rsid w:val="0082353C"/>
    <w:rsid w:val="00824CB0"/>
    <w:rsid w:val="00832CC3"/>
    <w:rsid w:val="00835C64"/>
    <w:rsid w:val="00841D9E"/>
    <w:rsid w:val="00845D05"/>
    <w:rsid w:val="00847BD9"/>
    <w:rsid w:val="008542CD"/>
    <w:rsid w:val="008668D7"/>
    <w:rsid w:val="008766CF"/>
    <w:rsid w:val="00877A45"/>
    <w:rsid w:val="008947B8"/>
    <w:rsid w:val="008A0367"/>
    <w:rsid w:val="008A619B"/>
    <w:rsid w:val="008B7F12"/>
    <w:rsid w:val="008C479E"/>
    <w:rsid w:val="008C6BDF"/>
    <w:rsid w:val="008F34D6"/>
    <w:rsid w:val="00903A18"/>
    <w:rsid w:val="00903DF7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C4701"/>
    <w:rsid w:val="009D5454"/>
    <w:rsid w:val="009E10B3"/>
    <w:rsid w:val="009E537C"/>
    <w:rsid w:val="009E6F83"/>
    <w:rsid w:val="009F4507"/>
    <w:rsid w:val="00A03578"/>
    <w:rsid w:val="00A05433"/>
    <w:rsid w:val="00A12057"/>
    <w:rsid w:val="00A132E2"/>
    <w:rsid w:val="00A15EFF"/>
    <w:rsid w:val="00A25135"/>
    <w:rsid w:val="00A26F7F"/>
    <w:rsid w:val="00A271A0"/>
    <w:rsid w:val="00A5086B"/>
    <w:rsid w:val="00A60B6E"/>
    <w:rsid w:val="00A625BF"/>
    <w:rsid w:val="00A62699"/>
    <w:rsid w:val="00A633B9"/>
    <w:rsid w:val="00A64429"/>
    <w:rsid w:val="00A64584"/>
    <w:rsid w:val="00A67769"/>
    <w:rsid w:val="00A728A6"/>
    <w:rsid w:val="00A7361C"/>
    <w:rsid w:val="00A73A7D"/>
    <w:rsid w:val="00A80309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AF40D7"/>
    <w:rsid w:val="00B03DC9"/>
    <w:rsid w:val="00B1455C"/>
    <w:rsid w:val="00B26E30"/>
    <w:rsid w:val="00B30E99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5F45"/>
    <w:rsid w:val="00BB72F0"/>
    <w:rsid w:val="00BB7B19"/>
    <w:rsid w:val="00BB7D22"/>
    <w:rsid w:val="00BC089D"/>
    <w:rsid w:val="00BC0EC0"/>
    <w:rsid w:val="00BC29D7"/>
    <w:rsid w:val="00BC361C"/>
    <w:rsid w:val="00BC404E"/>
    <w:rsid w:val="00BD7F2C"/>
    <w:rsid w:val="00BE20DD"/>
    <w:rsid w:val="00BE496B"/>
    <w:rsid w:val="00BE5E84"/>
    <w:rsid w:val="00BE6DF3"/>
    <w:rsid w:val="00BF69F3"/>
    <w:rsid w:val="00C06280"/>
    <w:rsid w:val="00C133B5"/>
    <w:rsid w:val="00C14966"/>
    <w:rsid w:val="00C21DBC"/>
    <w:rsid w:val="00C22E14"/>
    <w:rsid w:val="00C257E1"/>
    <w:rsid w:val="00C26448"/>
    <w:rsid w:val="00C30F2D"/>
    <w:rsid w:val="00C34E1E"/>
    <w:rsid w:val="00C56D6C"/>
    <w:rsid w:val="00C57A67"/>
    <w:rsid w:val="00C614EA"/>
    <w:rsid w:val="00C62C17"/>
    <w:rsid w:val="00C7220A"/>
    <w:rsid w:val="00C77541"/>
    <w:rsid w:val="00C817DE"/>
    <w:rsid w:val="00C84847"/>
    <w:rsid w:val="00C87F73"/>
    <w:rsid w:val="00CA1937"/>
    <w:rsid w:val="00CD525F"/>
    <w:rsid w:val="00CD63D6"/>
    <w:rsid w:val="00CE67E2"/>
    <w:rsid w:val="00CF03B8"/>
    <w:rsid w:val="00CF275B"/>
    <w:rsid w:val="00CF2784"/>
    <w:rsid w:val="00CF6CE6"/>
    <w:rsid w:val="00D02FF8"/>
    <w:rsid w:val="00D042EB"/>
    <w:rsid w:val="00D06C9C"/>
    <w:rsid w:val="00D17B23"/>
    <w:rsid w:val="00D22047"/>
    <w:rsid w:val="00D23233"/>
    <w:rsid w:val="00D33863"/>
    <w:rsid w:val="00D34073"/>
    <w:rsid w:val="00D42014"/>
    <w:rsid w:val="00D4251D"/>
    <w:rsid w:val="00D57B36"/>
    <w:rsid w:val="00D6194C"/>
    <w:rsid w:val="00D7198C"/>
    <w:rsid w:val="00D72227"/>
    <w:rsid w:val="00D76DFF"/>
    <w:rsid w:val="00D80302"/>
    <w:rsid w:val="00D90302"/>
    <w:rsid w:val="00D97047"/>
    <w:rsid w:val="00DA5FE2"/>
    <w:rsid w:val="00DA69B9"/>
    <w:rsid w:val="00DB009A"/>
    <w:rsid w:val="00DB20A5"/>
    <w:rsid w:val="00DB63E7"/>
    <w:rsid w:val="00DB64A3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41C3D"/>
    <w:rsid w:val="00E53D05"/>
    <w:rsid w:val="00E62823"/>
    <w:rsid w:val="00E65EC2"/>
    <w:rsid w:val="00E67805"/>
    <w:rsid w:val="00E75A2B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05ED6"/>
    <w:rsid w:val="00F10880"/>
    <w:rsid w:val="00F206BF"/>
    <w:rsid w:val="00F22ABB"/>
    <w:rsid w:val="00F31588"/>
    <w:rsid w:val="00F3589A"/>
    <w:rsid w:val="00F44F70"/>
    <w:rsid w:val="00F5308E"/>
    <w:rsid w:val="00F570F0"/>
    <w:rsid w:val="00F62596"/>
    <w:rsid w:val="00F71A63"/>
    <w:rsid w:val="00F750F5"/>
    <w:rsid w:val="00F7510A"/>
    <w:rsid w:val="00F80327"/>
    <w:rsid w:val="00F8075F"/>
    <w:rsid w:val="00F814FC"/>
    <w:rsid w:val="00F83691"/>
    <w:rsid w:val="00F95728"/>
    <w:rsid w:val="00F965E1"/>
    <w:rsid w:val="00FA6782"/>
    <w:rsid w:val="00FB373F"/>
    <w:rsid w:val="00FB479D"/>
    <w:rsid w:val="00FD084F"/>
    <w:rsid w:val="00FD6A44"/>
    <w:rsid w:val="00FD70EE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6" Type="http://schemas.openxmlformats.org/officeDocument/2006/relationships/hyperlink" Target="https://spnavigation.respondcrm.com/AppViewer.html?q=https://311prkb.respondcrm.com/respondweb/Emienda%20Querella/Emienda%20Querella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esentacion%20Querella%20Estacionamiento/Presentacion%20Querella%20Estacionamiento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daco.gobierno.pr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3E63-BCE9-47AA-84C2-9DD188BD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65CBF-2EB6-445F-82B3-C771BAEF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112A-1111-4D1D-A181-5D44891DF48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5CBAB53-9561-448B-A82A-B7A7E9C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90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 Relacionada a Estacionamientos</dc:title>
  <dc:subject>Información General</dc:subject>
  <dc:creator>3-1-1 Tu Línea de Servicios de Gobierno</dc:creator>
  <cp:keywords>DACO</cp:keywords>
  <cp:lastModifiedBy>respondadmin</cp:lastModifiedBy>
  <cp:revision>22</cp:revision>
  <cp:lastPrinted>2013-12-02T16:29:00Z</cp:lastPrinted>
  <dcterms:created xsi:type="dcterms:W3CDTF">2013-12-03T12:15:00Z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