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61123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BA443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F505D" w:rsidRPr="000F505D" w:rsidRDefault="000F505D" w:rsidP="000F505D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Se concederá una exención personal de $1,500 a todo veterano, según dicho término se define en la Ley Núm. 13 de 2 de octubre de 1980, según enmendada, conocida como la Carta de Derechos del Veterano Puertorriqueño.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611230" w:rsidP="00F3589A">
            <w:pPr>
              <w:pStyle w:val="NormalWeb"/>
              <w:rPr>
                <w:color w:val="000000"/>
                <w:lang w:val="es-PR"/>
              </w:rPr>
            </w:pPr>
            <w:r w:rsidRPr="00611230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BA443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BA4438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BA4438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CA7FC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611230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BA443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BA443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06B09" w:rsidRP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En el caso de cónyuges que vivan juntos y que rindan planilla conjunta, la contribución será, a opción de éstos, la suma de las contribuciones determinadas individualmente, en el Anejo CO de la Planilla de Contribución sobre Ingresos de Individuos, según aplique.</w:t>
      </w:r>
    </w:p>
    <w:p w:rsidR="00106B09" w:rsidRP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No es necesario que ambos cónyuges trabajen para poder acogerse a dicho cómputo opcional.</w:t>
      </w:r>
    </w:p>
    <w:p w:rsid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Los contribuyentes que elijan este cómputo, completarán la información biográfica y pasarán al Anejo CO Individuo: Cómputo Opcional, esto es, no tendrán que duplicar la información de ingresos y deducciones.</w:t>
      </w:r>
    </w:p>
    <w:p w:rsidR="00A60AE3" w:rsidRPr="00350687" w:rsidRDefault="00350687" w:rsidP="00350687">
      <w:pPr>
        <w:pStyle w:val="ListParagraph"/>
        <w:numPr>
          <w:ilvl w:val="0"/>
          <w:numId w:val="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Esta exención se reclama en la Planilla, </w:t>
      </w:r>
      <w:r>
        <w:rPr>
          <w:rFonts w:ascii="Times New Roman" w:hAnsi="Times New Roman"/>
          <w:sz w:val="24"/>
          <w:szCs w:val="24"/>
          <w:lang w:val="es-PR"/>
        </w:rPr>
        <w:t>Encasillado 2, Línea 10</w:t>
      </w:r>
      <w:r w:rsidRPr="000F505D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CA7FC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E2B06">
            <w:pPr>
              <w:spacing w:after="0" w:line="240" w:lineRule="auto"/>
              <w:ind w:left="720" w:hanging="360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6C6D0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CA7FC3" w:rsidRPr="00EA4951" w:rsidRDefault="00CA7FC3" w:rsidP="00CA7FC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4365C3" w:rsidRDefault="00614479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1021.03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CA7FC3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611230" w:rsidRPr="00611230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6C6D0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CA7FC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61123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23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6C6D0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611230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CB3136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CA7FC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CA7FC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611230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611230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611230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611230" w:rsidRPr="0061123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6C6D09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50687" w:rsidRDefault="00CB3136" w:rsidP="00350687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CO- Co</w:t>
      </w:r>
      <w:r w:rsidR="00350687" w:rsidRPr="00614479">
        <w:rPr>
          <w:rFonts w:ascii="Times New Roman" w:hAnsi="Times New Roman"/>
          <w:sz w:val="24"/>
          <w:szCs w:val="24"/>
          <w:u w:val="single"/>
          <w:lang w:val="es-PR"/>
        </w:rPr>
        <w:t>mputo Opcional de la Contribución</w:t>
      </w:r>
    </w:p>
    <w:p w:rsidR="00350687" w:rsidRPr="00013FC9" w:rsidRDefault="00611230" w:rsidP="0035068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5068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3506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6C6D09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50687" w:rsidRPr="00013FC9" w:rsidRDefault="00350687" w:rsidP="00350687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614479" w:rsidRDefault="00976767" w:rsidP="00614479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CA7FC3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E3" w:rsidRDefault="003009E3" w:rsidP="005501A9">
      <w:pPr>
        <w:spacing w:after="0" w:line="240" w:lineRule="auto"/>
      </w:pPr>
      <w:r>
        <w:separator/>
      </w:r>
    </w:p>
  </w:endnote>
  <w:endnote w:type="continuationSeparator" w:id="0">
    <w:p w:rsidR="003009E3" w:rsidRDefault="003009E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4329E" w:rsidRPr="00CA7FC3" w:rsidTr="0084329E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84329E" w:rsidRDefault="0084329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11230" w:rsidRPr="00CA7FC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A7FC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611230" w:rsidRPr="00CA7FC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A7FC3" w:rsidRPr="00CA7FC3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611230" w:rsidRPr="00CA7FC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84329E" w:rsidRDefault="0084329E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4329E" w:rsidRDefault="0084329E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4329E" w:rsidRDefault="0084329E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4329E" w:rsidRDefault="0084329E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4329E" w:rsidRDefault="0084329E" w:rsidP="0084329E">
    <w:pPr>
      <w:rPr>
        <w:rFonts w:ascii="Times New Roman" w:hAnsi="Times New Roman"/>
        <w:lang w:val="es-PR"/>
      </w:rPr>
    </w:pPr>
  </w:p>
  <w:p w:rsidR="00CF03B8" w:rsidRPr="00BA4438" w:rsidRDefault="00CF03B8" w:rsidP="0084329E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E3" w:rsidRDefault="003009E3" w:rsidP="005501A9">
      <w:pPr>
        <w:spacing w:after="0" w:line="240" w:lineRule="auto"/>
      </w:pPr>
      <w:r>
        <w:separator/>
      </w:r>
    </w:p>
  </w:footnote>
  <w:footnote w:type="continuationSeparator" w:id="0">
    <w:p w:rsidR="003009E3" w:rsidRDefault="003009E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50687" w:rsidRPr="00CA7FC3" w:rsidTr="002F617D">
      <w:trPr>
        <w:trHeight w:val="288"/>
      </w:trPr>
      <w:tc>
        <w:tcPr>
          <w:tcW w:w="8395" w:type="dxa"/>
        </w:tcPr>
        <w:p w:rsidR="00350687" w:rsidRDefault="00350687" w:rsidP="002F617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50687" w:rsidRPr="00301A90" w:rsidRDefault="00350687" w:rsidP="002F617D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 Política Contributiva</w:t>
          </w: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350687" w:rsidRPr="00446DFA" w:rsidRDefault="00350687" w:rsidP="002F617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350687" w:rsidRPr="004C743D" w:rsidRDefault="0081676B" w:rsidP="0035068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Co</w:t>
          </w:r>
          <w:r w:rsidR="00CB3136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mputo Opcional de la </w:t>
          </w:r>
          <w:proofErr w:type="spellStart"/>
          <w:r w:rsidR="00CB3136">
            <w:rPr>
              <w:rFonts w:ascii="Times New Roman" w:hAnsi="Times New Roman"/>
              <w:b/>
              <w:sz w:val="28"/>
              <w:szCs w:val="28"/>
              <w:lang w:val="es-PR"/>
            </w:rPr>
            <w:t>Contribucio</w:t>
          </w:r>
          <w:r w:rsidR="00350687" w:rsidRPr="00350687">
            <w:rPr>
              <w:rFonts w:ascii="Times New Roman" w:hAnsi="Times New Roman"/>
              <w:b/>
              <w:sz w:val="28"/>
              <w:szCs w:val="28"/>
              <w:lang w:val="es-PR"/>
            </w:rPr>
            <w:t>n</w:t>
          </w:r>
          <w:proofErr w:type="spellEnd"/>
          <w:r w:rsidR="00350687" w:rsidRPr="00350687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(Anejo CO</w:t>
          </w:r>
          <w:r w:rsidR="00D61CF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Individuo</w:t>
          </w:r>
          <w:r w:rsidR="00350687" w:rsidRPr="00350687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) </w:t>
          </w:r>
        </w:p>
      </w:tc>
      <w:tc>
        <w:tcPr>
          <w:tcW w:w="1195" w:type="dxa"/>
        </w:tcPr>
        <w:p w:rsidR="00350687" w:rsidRPr="00D049E5" w:rsidRDefault="00611230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611230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6.9pt;width:78.75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350687" w:rsidRPr="00446DFA" w:rsidRDefault="00350687" w:rsidP="0035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DAC-056</w:t>
                      </w:r>
                    </w:p>
                    <w:p w:rsidR="00350687" w:rsidRPr="002608D6" w:rsidRDefault="00350687" w:rsidP="0035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</w:t>
                      </w:r>
                      <w:r w:rsidR="006C6D0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7-jul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350687" w:rsidRDefault="00CF03B8" w:rsidP="00350687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A3487A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0"/>
  </w:num>
  <w:num w:numId="5">
    <w:abstractNumId w:val="13"/>
  </w:num>
  <w:num w:numId="6">
    <w:abstractNumId w:val="31"/>
  </w:num>
  <w:num w:numId="7">
    <w:abstractNumId w:val="1"/>
  </w:num>
  <w:num w:numId="8">
    <w:abstractNumId w:val="23"/>
  </w:num>
  <w:num w:numId="9">
    <w:abstractNumId w:val="30"/>
  </w:num>
  <w:num w:numId="10">
    <w:abstractNumId w:val="10"/>
  </w:num>
  <w:num w:numId="11">
    <w:abstractNumId w:val="17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1"/>
  </w:num>
  <w:num w:numId="16">
    <w:abstractNumId w:val="32"/>
  </w:num>
  <w:num w:numId="17">
    <w:abstractNumId w:val="28"/>
  </w:num>
  <w:num w:numId="18">
    <w:abstractNumId w:val="29"/>
  </w:num>
  <w:num w:numId="19">
    <w:abstractNumId w:val="20"/>
  </w:num>
  <w:num w:numId="20">
    <w:abstractNumId w:val="24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 w:numId="26">
    <w:abstractNumId w:val="3"/>
  </w:num>
  <w:num w:numId="27">
    <w:abstractNumId w:val="19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3"/>
  </w:num>
  <w:num w:numId="33">
    <w:abstractNumId w:val="18"/>
  </w:num>
  <w:num w:numId="34">
    <w:abstractNumId w:val="4"/>
  </w:num>
  <w:num w:numId="35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36F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505D"/>
    <w:rsid w:val="000F7989"/>
    <w:rsid w:val="00101650"/>
    <w:rsid w:val="00101F32"/>
    <w:rsid w:val="00106B09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47AA6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26D0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3BCA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09E3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0687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0F18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B6178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117C5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1230"/>
    <w:rsid w:val="00614479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C6D0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5E1D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532D"/>
    <w:rsid w:val="007C795B"/>
    <w:rsid w:val="007D07C4"/>
    <w:rsid w:val="007D5EB7"/>
    <w:rsid w:val="007E1921"/>
    <w:rsid w:val="007E319D"/>
    <w:rsid w:val="007F0041"/>
    <w:rsid w:val="007F6C93"/>
    <w:rsid w:val="007F7A59"/>
    <w:rsid w:val="00806F07"/>
    <w:rsid w:val="00807397"/>
    <w:rsid w:val="00815B23"/>
    <w:rsid w:val="0081676B"/>
    <w:rsid w:val="00817C0C"/>
    <w:rsid w:val="00824CB0"/>
    <w:rsid w:val="00832CC3"/>
    <w:rsid w:val="00841D9E"/>
    <w:rsid w:val="008432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2943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25637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1CD3"/>
    <w:rsid w:val="00A03578"/>
    <w:rsid w:val="00A05433"/>
    <w:rsid w:val="00A05F47"/>
    <w:rsid w:val="00A07665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AE3"/>
    <w:rsid w:val="00A60B6E"/>
    <w:rsid w:val="00A625BF"/>
    <w:rsid w:val="00A633B9"/>
    <w:rsid w:val="00A64429"/>
    <w:rsid w:val="00A64584"/>
    <w:rsid w:val="00A64C75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3965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443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A7FC3"/>
    <w:rsid w:val="00CB3136"/>
    <w:rsid w:val="00CC2A43"/>
    <w:rsid w:val="00CD525F"/>
    <w:rsid w:val="00CD63D6"/>
    <w:rsid w:val="00CF03B8"/>
    <w:rsid w:val="00CF2784"/>
    <w:rsid w:val="00CF6CE6"/>
    <w:rsid w:val="00D01088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1CF4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5D92"/>
    <w:rsid w:val="00DE6021"/>
    <w:rsid w:val="00DF27A7"/>
    <w:rsid w:val="00DF6720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7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7A155944-EF40-404D-995D-2C0BA883D7B8}"/>
</file>

<file path=customXml/itemProps2.xml><?xml version="1.0" encoding="utf-8"?>
<ds:datastoreItem xmlns:ds="http://schemas.openxmlformats.org/officeDocument/2006/customXml" ds:itemID="{97C878BE-DF94-49D9-9F8D-C5B7D21CBB42}"/>
</file>

<file path=customXml/itemProps3.xml><?xml version="1.0" encoding="utf-8"?>
<ds:datastoreItem xmlns:ds="http://schemas.openxmlformats.org/officeDocument/2006/customXml" ds:itemID="{913E0E43-6FF7-4184-988C-DF47A1F4251E}"/>
</file>

<file path=customXml/itemProps4.xml><?xml version="1.0" encoding="utf-8"?>
<ds:datastoreItem xmlns:ds="http://schemas.openxmlformats.org/officeDocument/2006/customXml" ds:itemID="{FD068728-B5B8-4D07-8170-39FC35B18D9D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985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Colón Zayas</dc:creator>
  <cp:lastModifiedBy>jtb3509</cp:lastModifiedBy>
  <cp:revision>62</cp:revision>
  <cp:lastPrinted>2015-03-31T13:58:00Z</cp:lastPrinted>
  <dcterms:created xsi:type="dcterms:W3CDTF">2015-06-02T14:44:00Z</dcterms:created>
  <dcterms:modified xsi:type="dcterms:W3CDTF">2015-07-21T13:29:00Z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