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diagrams/quickStyle2.xml" ContentType="application/vnd.openxmlformats-officedocument.drawingml.diagramStyle+xml"/>
  <Override PartName="/word/diagrams/drawing2.xml" ContentType="application/vnd.ms-office.drawingml.diagramDrawing+xml"/>
  <Override PartName="/word/diagrams/colors2.xml" ContentType="application/vnd.openxmlformats-officedocument.drawingml.diagramColors+xml"/>
  <Override PartName="/word/theme/theme1.xml" ContentType="application/vnd.openxmlformats-officedocument.theme+xml"/>
  <Override PartName="/word/diagrams/drawing1.xml" ContentType="application/vnd.ms-office.drawingml.diagramDrawing+xml"/>
  <Override PartName="/word/diagrams/layout2.xml" ContentType="application/vnd.openxmlformats-officedocument.drawingml.diagramLayout+xml"/>
  <Override PartName="/word/diagrams/layout1.xml" ContentType="application/vnd.openxmlformats-officedocument.drawingml.diagramLayout+xml"/>
  <Override PartName="/word/diagrams/colors1.xml" ContentType="application/vnd.openxmlformats-officedocument.drawingml.diagramColors+xml"/>
  <Override PartName="/word/diagrams/quickStyle1.xml" ContentType="application/vnd.openxmlformats-officedocument.drawingml.diagramStyl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24"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9510"/>
      </w:tblGrid>
      <w:tr w:rsidR="0047186A" w:rsidRPr="00A625BF" w:rsidTr="00BF01E5">
        <w:trPr>
          <w:trHeight w:val="472"/>
        </w:trPr>
        <w:tc>
          <w:tcPr>
            <w:tcW w:w="814"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C3208" w:rsidRDefault="005F3A77" w:rsidP="000553F9">
            <w:pPr>
              <w:pStyle w:val="NormalWeb"/>
              <w:spacing w:before="120" w:beforeAutospacing="0" w:after="120" w:afterAutospacing="0"/>
              <w:rPr>
                <w:color w:val="000000"/>
                <w:sz w:val="20"/>
                <w:szCs w:val="20"/>
                <w:lang w:val="es-PR"/>
              </w:rPr>
            </w:pPr>
            <w:r>
              <w:rPr>
                <w:noProof/>
              </w:rPr>
              <w:t xml:space="preserve">   </w:t>
            </w:r>
            <w:r w:rsidR="006666D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2.5pt">
                  <v:imagedata r:id="rId8" o:title="fooficina"/>
                </v:shape>
              </w:pict>
            </w:r>
          </w:p>
        </w:tc>
        <w:tc>
          <w:tcPr>
            <w:tcW w:w="9510" w:type="dxa"/>
            <w:tcBorders>
              <w:left w:val="single" w:sz="4" w:space="0" w:color="auto"/>
            </w:tcBorders>
            <w:shd w:val="clear" w:color="auto" w:fill="F79646" w:themeFill="accent6"/>
            <w:vAlign w:val="center"/>
          </w:tcPr>
          <w:p w:rsidR="00591CEE" w:rsidRPr="002608D6" w:rsidRDefault="00EE4871" w:rsidP="004C743D">
            <w:pPr>
              <w:spacing w:before="120" w:after="120" w:line="240" w:lineRule="auto"/>
              <w:ind w:left="-112" w:firstLine="112"/>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w:t>
            </w:r>
            <w:r w:rsidR="00B30328" w:rsidRPr="002608D6">
              <w:rPr>
                <w:rFonts w:ascii="Times New Roman" w:eastAsiaTheme="minorHAnsi" w:hAnsi="Times New Roman"/>
                <w:b/>
                <w:sz w:val="28"/>
                <w:szCs w:val="28"/>
                <w:lang w:val="es-PR"/>
              </w:rPr>
              <w:t>obre el</w:t>
            </w:r>
            <w:r w:rsidR="004979AF" w:rsidRPr="002608D6">
              <w:rPr>
                <w:rFonts w:ascii="Times New Roman" w:eastAsiaTheme="minorHAnsi" w:hAnsi="Times New Roman"/>
                <w:b/>
                <w:sz w:val="28"/>
                <w:szCs w:val="28"/>
                <w:lang w:val="es-PR"/>
              </w:rPr>
              <w:t xml:space="preserve"> Servicio </w:t>
            </w:r>
          </w:p>
        </w:tc>
      </w:tr>
    </w:tbl>
    <w:p w:rsidR="00CD7324" w:rsidRPr="002910D6" w:rsidRDefault="001F317F" w:rsidP="007F1A8F">
      <w:pPr>
        <w:pStyle w:val="ListParagraph"/>
        <w:numPr>
          <w:ilvl w:val="0"/>
          <w:numId w:val="2"/>
        </w:numPr>
        <w:spacing w:before="120" w:after="120" w:line="240" w:lineRule="auto"/>
        <w:jc w:val="both"/>
        <w:rPr>
          <w:rFonts w:ascii="Times New Roman" w:hAnsi="Times New Roman"/>
          <w:sz w:val="24"/>
          <w:lang w:val="es-ES"/>
        </w:rPr>
      </w:pPr>
      <w:bookmarkStart w:id="0" w:name="_GoBack"/>
      <w:bookmarkEnd w:id="0"/>
      <w:r w:rsidRPr="002910D6">
        <w:rPr>
          <w:rFonts w:ascii="Times New Roman" w:hAnsi="Times New Roman"/>
          <w:sz w:val="24"/>
          <w:lang w:val="es-PR"/>
        </w:rPr>
        <w:t>Brinda informació</w:t>
      </w:r>
      <w:r w:rsidR="002910D6">
        <w:rPr>
          <w:rFonts w:ascii="Times New Roman" w:hAnsi="Times New Roman"/>
          <w:sz w:val="24"/>
          <w:lang w:val="es-PR"/>
        </w:rPr>
        <w:t>n sobre</w:t>
      </w:r>
      <w:r w:rsidR="002910D6" w:rsidRPr="002910D6">
        <w:rPr>
          <w:rFonts w:ascii="Times New Roman" w:hAnsi="Times New Roman"/>
          <w:sz w:val="24"/>
          <w:lang w:val="es-ES"/>
        </w:rPr>
        <w:t xml:space="preserve"> los cambios introducidos por la Ley 72</w:t>
      </w:r>
      <w:r w:rsidR="002910D6">
        <w:rPr>
          <w:rFonts w:ascii="Times New Roman" w:hAnsi="Times New Roman"/>
          <w:sz w:val="24"/>
          <w:lang w:val="es-ES"/>
        </w:rPr>
        <w:t xml:space="preserve"> </w:t>
      </w:r>
      <w:r w:rsidR="002910D6" w:rsidRPr="002910D6">
        <w:rPr>
          <w:rFonts w:ascii="Times New Roman" w:hAnsi="Times New Roman"/>
          <w:sz w:val="24"/>
          <w:lang w:val="es-ES"/>
        </w:rPr>
        <w:t>de</w:t>
      </w:r>
      <w:r w:rsidR="002910D6">
        <w:rPr>
          <w:rFonts w:ascii="Times New Roman" w:hAnsi="Times New Roman"/>
          <w:sz w:val="24"/>
          <w:lang w:val="es-ES"/>
        </w:rPr>
        <w:t>l</w:t>
      </w:r>
      <w:r w:rsidR="002910D6" w:rsidRPr="002910D6">
        <w:rPr>
          <w:rFonts w:ascii="Times New Roman" w:hAnsi="Times New Roman"/>
          <w:sz w:val="24"/>
          <w:lang w:val="es-ES"/>
        </w:rPr>
        <w:t xml:space="preserve"> 29 de mayo de 2015 al Código de Rentas Internas de Puerto</w:t>
      </w:r>
      <w:r w:rsidR="002910D6">
        <w:rPr>
          <w:rFonts w:ascii="Times New Roman" w:hAnsi="Times New Roman"/>
          <w:sz w:val="24"/>
          <w:lang w:val="es-ES"/>
        </w:rPr>
        <w:t xml:space="preserve"> Rico de 2011, </w:t>
      </w:r>
      <w:r w:rsidR="002910D6" w:rsidRPr="002910D6">
        <w:rPr>
          <w:rFonts w:ascii="Times New Roman" w:hAnsi="Times New Roman"/>
          <w:sz w:val="24"/>
          <w:lang w:val="es-ES"/>
        </w:rPr>
        <w:t>con relación al Impue</w:t>
      </w:r>
      <w:r w:rsidR="00297138">
        <w:rPr>
          <w:rFonts w:ascii="Times New Roman" w:hAnsi="Times New Roman"/>
          <w:sz w:val="24"/>
          <w:lang w:val="es-ES"/>
        </w:rPr>
        <w:t>sto sobre Ventas y Uso</w:t>
      </w:r>
      <w:r w:rsidR="009158B8">
        <w:rPr>
          <w:rFonts w:ascii="Times New Roman" w:hAnsi="Times New Roman"/>
          <w:sz w:val="24"/>
          <w:lang w:val="es-ES"/>
        </w:rPr>
        <w:t>, conocido comúnmente como</w:t>
      </w:r>
      <w:r w:rsidR="00297138">
        <w:rPr>
          <w:rFonts w:ascii="Times New Roman" w:hAnsi="Times New Roman"/>
          <w:sz w:val="24"/>
          <w:lang w:val="es-ES"/>
        </w:rPr>
        <w:t xml:space="preserve"> (“IVU”).</w:t>
      </w:r>
    </w:p>
    <w:tbl>
      <w:tblPr>
        <w:tblW w:w="1021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02"/>
      </w:tblGrid>
      <w:tr w:rsidR="009B5543" w:rsidRPr="002910D6" w:rsidTr="00AB1B37">
        <w:trPr>
          <w:trHeight w:val="626"/>
        </w:trPr>
        <w:tc>
          <w:tcPr>
            <w:tcW w:w="814"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9B5543" w:rsidRPr="001B542E" w:rsidRDefault="009B5543" w:rsidP="003412E6">
            <w:pPr>
              <w:pStyle w:val="NormalWeb"/>
              <w:rPr>
                <w:color w:val="000000"/>
                <w:lang w:val="es-PR"/>
              </w:rPr>
            </w:pPr>
            <w:r>
              <w:rPr>
                <w:noProof/>
                <w:color w:val="000000"/>
              </w:rPr>
              <w:drawing>
                <wp:inline distT="0" distB="0" distL="0" distR="0">
                  <wp:extent cx="352425" cy="228600"/>
                  <wp:effectExtent l="19050" t="0" r="9525" b="0"/>
                  <wp:docPr id="10" name="Picture 10"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pic:cNvPicPr>
                            <a:picLocks noChangeAspect="1" noChangeArrowheads="1"/>
                          </pic:cNvPicPr>
                        </pic:nvPicPr>
                        <pic:blipFill>
                          <a:blip r:embed="rId9"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p>
        </w:tc>
        <w:tc>
          <w:tcPr>
            <w:tcW w:w="9404" w:type="dxa"/>
            <w:tcBorders>
              <w:left w:val="single" w:sz="4" w:space="0" w:color="auto"/>
            </w:tcBorders>
            <w:shd w:val="clear" w:color="auto" w:fill="F79646" w:themeFill="accent6"/>
            <w:vAlign w:val="center"/>
          </w:tcPr>
          <w:p w:rsidR="009B5543" w:rsidRPr="001B542E" w:rsidRDefault="003D1913" w:rsidP="003412E6">
            <w:pPr>
              <w:spacing w:after="0" w:line="240" w:lineRule="auto"/>
              <w:rPr>
                <w:rFonts w:ascii="Times New Roman" w:eastAsiaTheme="minorHAnsi" w:hAnsi="Times New Roman"/>
                <w:b/>
                <w:sz w:val="24"/>
                <w:szCs w:val="24"/>
                <w:lang w:val="es-PR"/>
              </w:rPr>
            </w:pPr>
            <w:r>
              <w:rPr>
                <w:rFonts w:ascii="Times New Roman" w:eastAsiaTheme="minorHAnsi" w:hAnsi="Times New Roman"/>
                <w:b/>
                <w:sz w:val="28"/>
                <w:szCs w:val="24"/>
                <w:lang w:val="es-PR"/>
              </w:rPr>
              <w:t>Clasificación del Contribuyente</w:t>
            </w:r>
          </w:p>
        </w:tc>
      </w:tr>
    </w:tbl>
    <w:p w:rsidR="009A2BD8" w:rsidRPr="00F32AAB" w:rsidRDefault="001B542E" w:rsidP="007F1A8F">
      <w:pPr>
        <w:pStyle w:val="ListParagraph"/>
        <w:numPr>
          <w:ilvl w:val="0"/>
          <w:numId w:val="1"/>
        </w:numPr>
        <w:spacing w:before="120" w:after="120" w:line="240" w:lineRule="auto"/>
        <w:rPr>
          <w:rFonts w:ascii="Times New Roman" w:hAnsi="Times New Roman"/>
          <w:color w:val="000000"/>
          <w:lang w:val="es-PR"/>
        </w:rPr>
      </w:pPr>
      <w:r w:rsidRPr="008B1777">
        <w:rPr>
          <w:rFonts w:ascii="Times New Roman" w:hAnsi="Times New Roman"/>
          <w:color w:val="000000"/>
          <w:sz w:val="24"/>
          <w:lang w:val="es-PR"/>
        </w:rPr>
        <w:t>Individu</w:t>
      </w:r>
      <w:r w:rsidR="00204FA7" w:rsidRPr="008B1777">
        <w:rPr>
          <w:rFonts w:ascii="Times New Roman" w:hAnsi="Times New Roman"/>
          <w:color w:val="000000"/>
          <w:sz w:val="24"/>
          <w:lang w:val="es-PR"/>
        </w:rPr>
        <w:t>o</w:t>
      </w:r>
      <w:r w:rsidR="002A032D">
        <w:rPr>
          <w:rFonts w:ascii="Times New Roman" w:hAnsi="Times New Roman"/>
          <w:color w:val="000000"/>
          <w:sz w:val="24"/>
          <w:lang w:val="es-PR"/>
        </w:rPr>
        <w:t>s</w:t>
      </w:r>
      <w:r w:rsidR="00254585">
        <w:rPr>
          <w:rFonts w:ascii="Times New Roman" w:hAnsi="Times New Roman"/>
          <w:color w:val="000000"/>
          <w:sz w:val="24"/>
          <w:lang w:val="es-PR"/>
        </w:rPr>
        <w:t xml:space="preserv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32AAB" w:rsidRPr="007377CD" w:rsidTr="00717C77">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32AAB" w:rsidRPr="001E6981" w:rsidRDefault="00F32AAB" w:rsidP="00717C77">
            <w:pPr>
              <w:pStyle w:val="NormalWeb"/>
              <w:rPr>
                <w:color w:val="000000"/>
                <w:sz w:val="20"/>
                <w:szCs w:val="20"/>
                <w:lang w:val="es-PR"/>
              </w:rPr>
            </w:pPr>
            <w:r w:rsidRPr="004D02EE">
              <w:rPr>
                <w:noProof/>
                <w:color w:val="000000"/>
                <w:sz w:val="20"/>
                <w:szCs w:val="20"/>
              </w:rPr>
              <w:drawing>
                <wp:inline distT="0" distB="0" distL="0" distR="0">
                  <wp:extent cx="304800" cy="312821"/>
                  <wp:effectExtent l="19050" t="0" r="0" b="0"/>
                  <wp:docPr id="6"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0"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F32AAB" w:rsidRPr="001E6981" w:rsidRDefault="00F32AAB" w:rsidP="00717C77">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Códigos, Leyes o Reglamentos aplicables</w:t>
            </w:r>
          </w:p>
        </w:tc>
      </w:tr>
    </w:tbl>
    <w:p w:rsidR="00F32AAB" w:rsidRPr="00EB3285" w:rsidRDefault="006666DB" w:rsidP="00F32AAB">
      <w:pPr>
        <w:pStyle w:val="important"/>
        <w:numPr>
          <w:ilvl w:val="0"/>
          <w:numId w:val="31"/>
        </w:numPr>
        <w:spacing w:before="120" w:after="120" w:line="240" w:lineRule="auto"/>
        <w:ind w:left="720"/>
        <w:rPr>
          <w:rFonts w:cs="Helvetica"/>
          <w:sz w:val="24"/>
          <w:szCs w:val="24"/>
          <w:lang w:val="es-ES"/>
        </w:rPr>
      </w:pPr>
      <w:hyperlink r:id="rId11" w:history="1">
        <w:r w:rsidR="00F32AAB" w:rsidRPr="00EB3285">
          <w:rPr>
            <w:rStyle w:val="Hyperlink"/>
            <w:rFonts w:ascii="Times New Roman" w:hAnsi="Times New Roman"/>
            <w:sz w:val="24"/>
            <w:szCs w:val="24"/>
            <w:lang w:val="es-PR"/>
          </w:rPr>
          <w:t>Carta Circular Política Contributiva 15-08:</w:t>
        </w:r>
      </w:hyperlink>
      <w:r w:rsidR="00F32AAB" w:rsidRPr="00EB3285">
        <w:rPr>
          <w:rFonts w:cs="Helvetica"/>
          <w:sz w:val="24"/>
          <w:szCs w:val="24"/>
          <w:lang w:val="es-ES"/>
        </w:rPr>
        <w:t xml:space="preserve"> Devoluciones de ventas de partidas tributables ocurridas luego del 30 de junio de 2015</w:t>
      </w:r>
      <w:r w:rsidR="00F32AAB">
        <w:rPr>
          <w:rFonts w:cs="Helvetica"/>
          <w:sz w:val="24"/>
          <w:szCs w:val="24"/>
          <w:lang w:val="es-ES"/>
        </w:rPr>
        <w:t>.</w:t>
      </w:r>
      <w:r w:rsidR="00F32AAB" w:rsidRPr="00EB3285">
        <w:rPr>
          <w:rFonts w:cs="Helvetica"/>
          <w:sz w:val="24"/>
          <w:szCs w:val="24"/>
          <w:lang w:val="es-ES"/>
        </w:rPr>
        <w:t xml:space="preserve"> </w:t>
      </w:r>
    </w:p>
    <w:p w:rsidR="00F32AAB" w:rsidRPr="00EB3285" w:rsidRDefault="006666DB" w:rsidP="00F32AAB">
      <w:pPr>
        <w:pStyle w:val="important"/>
        <w:numPr>
          <w:ilvl w:val="0"/>
          <w:numId w:val="31"/>
        </w:numPr>
        <w:ind w:left="720"/>
        <w:rPr>
          <w:rFonts w:cs="Helvetica"/>
          <w:lang w:val="es-ES"/>
        </w:rPr>
      </w:pPr>
      <w:hyperlink r:id="rId12" w:history="1">
        <w:r w:rsidR="00F32AAB" w:rsidRPr="00EB3285">
          <w:rPr>
            <w:rStyle w:val="Hyperlink"/>
            <w:rFonts w:ascii="Times New Roman" w:hAnsi="Times New Roman"/>
            <w:sz w:val="24"/>
            <w:szCs w:val="24"/>
            <w:lang w:val="es-PR"/>
          </w:rPr>
          <w:t>Carta Circular Política Contributiva 15-09:</w:t>
        </w:r>
      </w:hyperlink>
      <w:r w:rsidR="00F32AAB" w:rsidRPr="00EB3285">
        <w:rPr>
          <w:rFonts w:ascii="Times New Roman" w:hAnsi="Times New Roman"/>
          <w:color w:val="525252"/>
          <w:sz w:val="24"/>
          <w:szCs w:val="24"/>
          <w:lang w:val="es-ES"/>
        </w:rPr>
        <w:t xml:space="preserve"> </w:t>
      </w:r>
      <w:r w:rsidR="00F32AAB" w:rsidRPr="00EB3285">
        <w:rPr>
          <w:rFonts w:ascii="Times New Roman" w:hAnsi="Times New Roman"/>
          <w:sz w:val="24"/>
          <w:szCs w:val="24"/>
          <w:lang w:val="es-ES"/>
        </w:rPr>
        <w:t>Exclusión de los contratos y subastas preexistentes del cambio del Impuesto sobre Ventas y Uso a partir del 1 de julio de 2015 a partidas tributables</w:t>
      </w:r>
      <w:r w:rsidR="00F32AAB">
        <w:rPr>
          <w:rFonts w:ascii="Times New Roman" w:hAnsi="Times New Roman"/>
          <w:sz w:val="24"/>
          <w:szCs w:val="24"/>
          <w:lang w:val="es-ES"/>
        </w:rPr>
        <w:t>.</w:t>
      </w:r>
      <w:r w:rsidR="00F32AAB" w:rsidRPr="00EB3285">
        <w:rPr>
          <w:rFonts w:ascii="Times New Roman" w:hAnsi="Times New Roman"/>
          <w:color w:val="525252"/>
          <w:sz w:val="24"/>
          <w:szCs w:val="24"/>
          <w:lang w:val="es-ES"/>
        </w:rPr>
        <w:t xml:space="preserve"> </w:t>
      </w:r>
    </w:p>
    <w:p w:rsidR="00F32AAB" w:rsidRPr="002C1468" w:rsidRDefault="006666DB" w:rsidP="00F32AAB">
      <w:pPr>
        <w:pStyle w:val="ListParagraph"/>
        <w:numPr>
          <w:ilvl w:val="0"/>
          <w:numId w:val="31"/>
        </w:numPr>
        <w:shd w:val="clear" w:color="auto" w:fill="FFFFFF"/>
        <w:spacing w:before="120" w:after="120" w:line="240" w:lineRule="auto"/>
        <w:ind w:left="720"/>
        <w:rPr>
          <w:rFonts w:ascii="Times New Roman" w:hAnsi="Times New Roman"/>
          <w:color w:val="000000"/>
          <w:sz w:val="24"/>
          <w:szCs w:val="24"/>
          <w:lang w:val="es-PR"/>
        </w:rPr>
      </w:pPr>
      <w:hyperlink r:id="rId13" w:history="1">
        <w:r w:rsidR="00F32AAB" w:rsidRPr="002C1468">
          <w:rPr>
            <w:rStyle w:val="Hyperlink"/>
            <w:rFonts w:ascii="Times New Roman" w:hAnsi="Times New Roman"/>
            <w:sz w:val="24"/>
            <w:szCs w:val="24"/>
            <w:lang w:val="es-PR"/>
          </w:rPr>
          <w:t>Carta Circular Política Contributiva 15-10:</w:t>
        </w:r>
      </w:hyperlink>
      <w:r w:rsidR="00F32AAB" w:rsidRPr="002C1468">
        <w:rPr>
          <w:rFonts w:ascii="Times New Roman" w:hAnsi="Times New Roman"/>
          <w:color w:val="525252"/>
          <w:sz w:val="24"/>
          <w:szCs w:val="24"/>
          <w:lang w:val="es-ES"/>
        </w:rPr>
        <w:t xml:space="preserve"> </w:t>
      </w:r>
      <w:r w:rsidR="00F32AAB" w:rsidRPr="002C1468">
        <w:rPr>
          <w:rFonts w:ascii="Times New Roman" w:hAnsi="Times New Roman"/>
          <w:sz w:val="24"/>
          <w:szCs w:val="24"/>
          <w:lang w:val="es-ES"/>
        </w:rPr>
        <w:t>Exclusión de los contratos y subastas preexistentes del cambio del Impuesto sobre Ventas y Uso a partir del 1 de julio de 2015 a partidas tributables</w:t>
      </w:r>
      <w:r w:rsidR="00F32AAB">
        <w:rPr>
          <w:rFonts w:ascii="Times New Roman" w:hAnsi="Times New Roman"/>
          <w:sz w:val="24"/>
          <w:szCs w:val="24"/>
          <w:lang w:val="es-ES"/>
        </w:rPr>
        <w:t>.</w:t>
      </w:r>
      <w:r w:rsidR="00F32AAB" w:rsidRPr="002C1468">
        <w:rPr>
          <w:rFonts w:ascii="Times New Roman" w:hAnsi="Times New Roman"/>
          <w:sz w:val="24"/>
          <w:szCs w:val="24"/>
          <w:lang w:val="es-ES"/>
        </w:rPr>
        <w:t xml:space="preserve"> </w:t>
      </w:r>
    </w:p>
    <w:p w:rsidR="00F32AAB" w:rsidRPr="002C1468" w:rsidRDefault="006666DB" w:rsidP="00F32AAB">
      <w:pPr>
        <w:pStyle w:val="ListParagraph"/>
        <w:numPr>
          <w:ilvl w:val="0"/>
          <w:numId w:val="31"/>
        </w:numPr>
        <w:shd w:val="clear" w:color="auto" w:fill="FFFFFF"/>
        <w:spacing w:before="120" w:after="120" w:line="240" w:lineRule="auto"/>
        <w:ind w:left="720"/>
        <w:rPr>
          <w:rFonts w:ascii="Times New Roman" w:hAnsi="Times New Roman"/>
          <w:b/>
          <w:color w:val="000000"/>
          <w:sz w:val="24"/>
          <w:szCs w:val="24"/>
          <w:lang w:val="es-PR"/>
        </w:rPr>
      </w:pPr>
      <w:hyperlink r:id="rId14" w:history="1">
        <w:r w:rsidR="00F32AAB" w:rsidRPr="002C1468">
          <w:rPr>
            <w:rStyle w:val="Hyperlink"/>
            <w:rFonts w:ascii="Times New Roman" w:hAnsi="Times New Roman"/>
            <w:sz w:val="24"/>
            <w:szCs w:val="24"/>
            <w:lang w:val="es-PR"/>
          </w:rPr>
          <w:t>Carta Circular Política Contributiva 15-11:</w:t>
        </w:r>
      </w:hyperlink>
      <w:r w:rsidR="00F32AAB" w:rsidRPr="002C1468">
        <w:rPr>
          <w:rFonts w:ascii="Times New Roman" w:hAnsi="Times New Roman"/>
          <w:b/>
          <w:color w:val="000000"/>
          <w:sz w:val="24"/>
          <w:szCs w:val="24"/>
          <w:lang w:val="es-PR"/>
        </w:rPr>
        <w:t xml:space="preserve"> </w:t>
      </w:r>
      <w:r w:rsidR="00F32AAB" w:rsidRPr="002C1468">
        <w:rPr>
          <w:rFonts w:ascii="Times New Roman" w:hAnsi="Times New Roman"/>
          <w:sz w:val="24"/>
          <w:szCs w:val="24"/>
          <w:lang w:val="es-ES"/>
        </w:rPr>
        <w:t>Exclusión de los contratos y subastas preexistentes al 30 de junio de 2015 del cambio del Impuesto Sobre Ventas y Uso aplicable a los servicios que serán rendidos a otros comerciantes o a los servicios profesionales designados</w:t>
      </w:r>
      <w:r w:rsidR="00F32AAB">
        <w:rPr>
          <w:rFonts w:ascii="Times New Roman" w:hAnsi="Times New Roman"/>
          <w:sz w:val="24"/>
          <w:szCs w:val="24"/>
          <w:lang w:val="es-ES"/>
        </w:rPr>
        <w:t>.</w:t>
      </w:r>
      <w:r w:rsidR="00F32AAB" w:rsidRPr="002C1468">
        <w:rPr>
          <w:rFonts w:ascii="Times New Roman" w:hAnsi="Times New Roman"/>
          <w:color w:val="525252"/>
          <w:sz w:val="24"/>
          <w:szCs w:val="24"/>
          <w:lang w:val="es-ES"/>
        </w:rPr>
        <w:t xml:space="preserve"> </w:t>
      </w:r>
    </w:p>
    <w:p w:rsidR="00F32AAB" w:rsidRPr="00F32AAB" w:rsidRDefault="006666DB" w:rsidP="00F32AAB">
      <w:pPr>
        <w:pStyle w:val="ListParagraph"/>
        <w:numPr>
          <w:ilvl w:val="0"/>
          <w:numId w:val="31"/>
        </w:numPr>
        <w:shd w:val="clear" w:color="auto" w:fill="FFFFFF"/>
        <w:spacing w:before="120" w:after="120" w:line="240" w:lineRule="auto"/>
        <w:ind w:left="720"/>
        <w:rPr>
          <w:rFonts w:ascii="Times New Roman" w:hAnsi="Times New Roman"/>
          <w:b/>
          <w:color w:val="000000"/>
          <w:sz w:val="24"/>
          <w:szCs w:val="24"/>
          <w:lang w:val="es-PR"/>
        </w:rPr>
      </w:pPr>
      <w:hyperlink r:id="rId15" w:history="1">
        <w:r w:rsidR="00F32AAB" w:rsidRPr="002C1468">
          <w:rPr>
            <w:rStyle w:val="Hyperlink"/>
            <w:rFonts w:ascii="Times New Roman" w:hAnsi="Times New Roman"/>
            <w:sz w:val="24"/>
            <w:szCs w:val="24"/>
            <w:lang w:val="es-PR"/>
          </w:rPr>
          <w:t>Código de Rentas Internas para un Nuevo Puerto Rico</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A05F47"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976767" w:rsidP="00934BD4">
            <w:pPr>
              <w:pStyle w:val="NormalWeb"/>
              <w:rPr>
                <w:rFonts w:ascii="Verdana" w:hAnsi="Verdana" w:cs="Arial"/>
                <w:color w:val="000000"/>
                <w:sz w:val="20"/>
                <w:szCs w:val="20"/>
                <w:lang w:val="es-PR"/>
              </w:rPr>
            </w:pPr>
            <w:r>
              <w:rPr>
                <w:b/>
                <w:noProof/>
              </w:rPr>
              <w:drawing>
                <wp:inline distT="0" distB="0" distL="0" distR="0">
                  <wp:extent cx="371475" cy="371475"/>
                  <wp:effectExtent l="19050" t="0" r="9525" b="0"/>
                  <wp:docPr id="1"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16"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F79646" w:themeFill="accent6"/>
            <w:vAlign w:val="center"/>
          </w:tcPr>
          <w:p w:rsidR="001E5F9F" w:rsidRPr="00F84D63" w:rsidRDefault="00EE4871" w:rsidP="005A548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Preguntas F</w:t>
            </w:r>
            <w:r w:rsidR="00934BD4" w:rsidRPr="00F84D63">
              <w:rPr>
                <w:rFonts w:ascii="Times New Roman" w:eastAsiaTheme="minorHAnsi" w:hAnsi="Times New Roman"/>
                <w:b/>
                <w:sz w:val="28"/>
                <w:szCs w:val="28"/>
                <w:lang w:val="es-PR"/>
              </w:rPr>
              <w:t>recuentes</w:t>
            </w:r>
          </w:p>
        </w:tc>
      </w:tr>
    </w:tbl>
    <w:p w:rsidR="00D96A9D" w:rsidRPr="00067BC6" w:rsidRDefault="00067BC6" w:rsidP="00067BC6">
      <w:pPr>
        <w:spacing w:before="120" w:after="120" w:line="240" w:lineRule="auto"/>
        <w:jc w:val="both"/>
        <w:rPr>
          <w:rFonts w:ascii="Times New Roman" w:hAnsi="Times New Roman"/>
          <w:b/>
          <w:i/>
          <w:sz w:val="24"/>
          <w:u w:val="single"/>
          <w:lang w:val="es-ES"/>
        </w:rPr>
      </w:pPr>
      <w:r w:rsidRPr="00067BC6">
        <w:rPr>
          <w:rFonts w:ascii="Times New Roman" w:hAnsi="Times New Roman"/>
          <w:b/>
          <w:i/>
          <w:sz w:val="24"/>
          <w:u w:val="single"/>
          <w:lang w:val="es-ES"/>
        </w:rPr>
        <w:t>Comenzando el 1 de julio de 2015:</w:t>
      </w:r>
    </w:p>
    <w:p w:rsidR="00297138" w:rsidRPr="00F32AAB" w:rsidRDefault="00F32AAB" w:rsidP="00F32AAB">
      <w:pPr>
        <w:spacing w:before="120" w:after="120" w:line="240" w:lineRule="auto"/>
        <w:jc w:val="center"/>
        <w:rPr>
          <w:rFonts w:ascii="Times New Roman" w:hAnsi="Times New Roman"/>
          <w:b/>
          <w:sz w:val="24"/>
          <w:lang w:val="es-ES"/>
        </w:rPr>
      </w:pPr>
      <w:r>
        <w:rPr>
          <w:noProof/>
        </w:rPr>
        <w:drawing>
          <wp:anchor distT="0" distB="0" distL="114300" distR="114300" simplePos="0" relativeHeight="251658240" behindDoc="0" locked="0" layoutInCell="1" allowOverlap="1">
            <wp:simplePos x="0" y="0"/>
            <wp:positionH relativeFrom="margin">
              <wp:posOffset>19050</wp:posOffset>
            </wp:positionH>
            <wp:positionV relativeFrom="margin">
              <wp:posOffset>6155055</wp:posOffset>
            </wp:positionV>
            <wp:extent cx="6029325" cy="1009650"/>
            <wp:effectExtent l="76200" t="38100" r="47625" b="38100"/>
            <wp:wrapSquare wrapText="bothSides"/>
            <wp:docPr id="2"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r w:rsidR="00297138" w:rsidRPr="00F32AAB">
        <w:rPr>
          <w:rFonts w:ascii="Times New Roman" w:hAnsi="Times New Roman"/>
          <w:b/>
          <w:sz w:val="24"/>
          <w:lang w:val="es-ES"/>
        </w:rPr>
        <w:t xml:space="preserve">¿Qué fechas son importantes para los Comerciantes con respecto a los cambios </w:t>
      </w:r>
      <w:r w:rsidR="00067BC6" w:rsidRPr="00F32AAB">
        <w:rPr>
          <w:rFonts w:ascii="Times New Roman" w:hAnsi="Times New Roman"/>
          <w:b/>
          <w:sz w:val="24"/>
          <w:lang w:val="es-ES"/>
        </w:rPr>
        <w:t xml:space="preserve">al </w:t>
      </w:r>
      <w:r w:rsidR="00297138" w:rsidRPr="00F32AAB">
        <w:rPr>
          <w:rFonts w:ascii="Times New Roman" w:hAnsi="Times New Roman"/>
          <w:b/>
          <w:sz w:val="24"/>
          <w:lang w:val="es-ES"/>
        </w:rPr>
        <w:t>IVU?</w:t>
      </w:r>
    </w:p>
    <w:p w:rsidR="00F32AAB" w:rsidRPr="00F32AAB" w:rsidRDefault="00F32AAB" w:rsidP="00F32AAB">
      <w:pPr>
        <w:spacing w:after="0" w:line="240" w:lineRule="auto"/>
        <w:jc w:val="both"/>
        <w:rPr>
          <w:rFonts w:ascii="Arial" w:hAnsi="Arial" w:cs="Arial"/>
          <w:b/>
          <w:lang w:val="es-ES"/>
        </w:rPr>
      </w:pPr>
    </w:p>
    <w:p w:rsidR="00BB6829" w:rsidRDefault="00297138" w:rsidP="007F1A8F">
      <w:pPr>
        <w:pStyle w:val="ListParagraph"/>
        <w:numPr>
          <w:ilvl w:val="0"/>
          <w:numId w:val="5"/>
        </w:numPr>
        <w:spacing w:after="0" w:line="240" w:lineRule="auto"/>
        <w:jc w:val="both"/>
        <w:rPr>
          <w:rFonts w:ascii="Times New Roman" w:hAnsi="Times New Roman"/>
          <w:b/>
          <w:sz w:val="24"/>
          <w:lang w:val="es-ES"/>
        </w:rPr>
      </w:pPr>
      <w:r w:rsidRPr="009158B8">
        <w:rPr>
          <w:rFonts w:ascii="Times New Roman" w:hAnsi="Times New Roman"/>
          <w:b/>
          <w:sz w:val="24"/>
          <w:lang w:val="es-ES"/>
        </w:rPr>
        <w:lastRenderedPageBreak/>
        <w:t>¿Qué cambios al IVU son efectivos el 1 de julio de 2015?</w:t>
      </w:r>
      <w:r w:rsidR="009158B8">
        <w:rPr>
          <w:rFonts w:ascii="Times New Roman" w:hAnsi="Times New Roman"/>
          <w:b/>
          <w:sz w:val="24"/>
          <w:lang w:val="es-ES"/>
        </w:rPr>
        <w:t xml:space="preserve"> </w:t>
      </w:r>
    </w:p>
    <w:p w:rsidR="009158B8" w:rsidRPr="00CB03C8" w:rsidRDefault="00297138" w:rsidP="007F1A8F">
      <w:pPr>
        <w:pStyle w:val="ListParagraph"/>
        <w:numPr>
          <w:ilvl w:val="0"/>
          <w:numId w:val="6"/>
        </w:numPr>
        <w:tabs>
          <w:tab w:val="left" w:pos="360"/>
        </w:tabs>
        <w:spacing w:after="0" w:line="240" w:lineRule="auto"/>
        <w:rPr>
          <w:rFonts w:ascii="Times New Roman" w:hAnsi="Times New Roman"/>
          <w:b/>
          <w:sz w:val="24"/>
          <w:lang w:val="es-ES"/>
        </w:rPr>
      </w:pPr>
      <w:r w:rsidRPr="00CB03C8">
        <w:rPr>
          <w:rFonts w:ascii="Times New Roman" w:hAnsi="Times New Roman"/>
          <w:sz w:val="24"/>
          <w:lang w:val="es-ES"/>
        </w:rPr>
        <w:t>El 1 de julio de 2015 la tasa contributiva del IVU aumenta de 7% a 11.5%, por lo que los comerciantes cobrarán 11.5% sobre las ventas de partidas tributables en todos los municipios de Puerto Rico, del cual remitirán un total de 10.5% al Departamento de Hacienda y 1% al municipio donde esté ubicado su negocio. Además, efectivo para la planilla del mes de julio de 2015, los comerciantes podrán tomar un crédito de hasta 100% de la responsabilidad contributiva del mes por concepto del IVU pagado en bienes adquiridos para la reventa.  Actualmente, dicho crédito está limitado hasta el 75% de la responsabilidad contributiva.</w:t>
      </w:r>
      <w:r w:rsidR="009158B8" w:rsidRPr="00CB03C8">
        <w:rPr>
          <w:rFonts w:ascii="Times New Roman" w:hAnsi="Times New Roman"/>
          <w:sz w:val="24"/>
          <w:lang w:val="es-ES"/>
        </w:rPr>
        <w:t xml:space="preserve"> </w:t>
      </w:r>
      <w:r w:rsidRPr="00CB03C8">
        <w:rPr>
          <w:rFonts w:ascii="Times New Roman" w:hAnsi="Times New Roman"/>
          <w:sz w:val="24"/>
          <w:lang w:val="es-ES"/>
        </w:rPr>
        <w:t>Todos los comerciantes tendrán la obligación de radicar electrónicamente su Planilla Mensual del IVU comenzando con la planilla correspondiente al mes de junio de 2015.</w:t>
      </w:r>
    </w:p>
    <w:p w:rsidR="002B2EAA" w:rsidRPr="00D96A9D" w:rsidRDefault="002B2EAA" w:rsidP="007F1A8F">
      <w:pPr>
        <w:pStyle w:val="ListParagraph"/>
        <w:numPr>
          <w:ilvl w:val="0"/>
          <w:numId w:val="10"/>
        </w:numPr>
        <w:spacing w:after="120" w:line="240" w:lineRule="auto"/>
        <w:jc w:val="both"/>
        <w:rPr>
          <w:rFonts w:ascii="Times New Roman" w:hAnsi="Times New Roman"/>
          <w:sz w:val="32"/>
          <w:lang w:val="es-ES"/>
        </w:rPr>
      </w:pPr>
      <w:r w:rsidRPr="00D96A9D">
        <w:rPr>
          <w:rFonts w:ascii="Times New Roman" w:hAnsi="Times New Roman"/>
          <w:b/>
          <w:sz w:val="24"/>
          <w:lang w:val="es-ES"/>
        </w:rPr>
        <w:t>¿Hay algún cambio en la tasa o en el pago del IVU municipal?</w:t>
      </w:r>
    </w:p>
    <w:p w:rsidR="002B2EAA" w:rsidRPr="00D96A9D" w:rsidRDefault="002B2EAA" w:rsidP="007F1A8F">
      <w:pPr>
        <w:pStyle w:val="ListParagraph"/>
        <w:numPr>
          <w:ilvl w:val="0"/>
          <w:numId w:val="9"/>
        </w:numPr>
        <w:spacing w:after="120" w:line="240" w:lineRule="auto"/>
        <w:jc w:val="both"/>
        <w:rPr>
          <w:rFonts w:ascii="Times New Roman" w:hAnsi="Times New Roman"/>
          <w:sz w:val="36"/>
          <w:lang w:val="es-ES"/>
        </w:rPr>
      </w:pPr>
      <w:r w:rsidRPr="00D96A9D">
        <w:rPr>
          <w:rFonts w:ascii="Times New Roman" w:hAnsi="Times New Roman"/>
          <w:sz w:val="24"/>
          <w:lang w:val="es-ES"/>
        </w:rPr>
        <w:t>No.  La tasa del IVU municipal permanece en 1% y los comerciantes deben cobrar y remitir el IVU municipal de la misma manera en la cual han estado haciendo.</w:t>
      </w:r>
    </w:p>
    <w:p w:rsidR="002B2EAA" w:rsidRPr="00D96A9D" w:rsidRDefault="002B2EAA" w:rsidP="004C6076">
      <w:pPr>
        <w:pStyle w:val="ListParagraph"/>
        <w:numPr>
          <w:ilvl w:val="0"/>
          <w:numId w:val="17"/>
        </w:numPr>
        <w:tabs>
          <w:tab w:val="left" w:pos="810"/>
        </w:tabs>
        <w:spacing w:after="0" w:line="240" w:lineRule="auto"/>
        <w:jc w:val="both"/>
        <w:rPr>
          <w:rFonts w:ascii="Arial" w:hAnsi="Arial" w:cs="Arial"/>
          <w:lang w:val="es-ES"/>
        </w:rPr>
      </w:pPr>
      <w:r w:rsidRPr="00D96A9D">
        <w:rPr>
          <w:rFonts w:ascii="Times New Roman" w:hAnsi="Times New Roman"/>
          <w:b/>
          <w:sz w:val="24"/>
          <w:lang w:val="es-ES"/>
        </w:rPr>
        <w:t xml:space="preserve">¿Qué regla deberá seguir el Comerciante para redondear el cómputo de la contribución del IVU? </w:t>
      </w:r>
    </w:p>
    <w:p w:rsidR="002B2EAA" w:rsidRPr="001C6FB1" w:rsidRDefault="002B2EAA" w:rsidP="007F1A8F">
      <w:pPr>
        <w:pStyle w:val="ListParagraph"/>
        <w:numPr>
          <w:ilvl w:val="0"/>
          <w:numId w:val="16"/>
        </w:numPr>
        <w:spacing w:after="0" w:line="240" w:lineRule="auto"/>
        <w:jc w:val="both"/>
        <w:rPr>
          <w:rFonts w:ascii="Arial" w:hAnsi="Arial" w:cs="Arial"/>
          <w:lang w:val="es-ES"/>
        </w:rPr>
      </w:pPr>
      <w:r w:rsidRPr="001C6FB1">
        <w:rPr>
          <w:rFonts w:ascii="Times New Roman" w:hAnsi="Times New Roman"/>
          <w:color w:val="000000"/>
          <w:sz w:val="24"/>
          <w:lang w:val="es-PR"/>
        </w:rPr>
        <w:t>Cuando el cómputo del IVU resulte en una fracción de medio centavo ($0.005) o mayor, el cómputo del IVU se redondeará para cobrarse un centavo adicional.  Por otra parte, cuando el cómputo del IVU resulte en una fracción menor de medio centavo ($0.005), no se redondeará para que no se cobre un centavo adicional.  Por ejemplo, el IVU sobre un artículo con un precio de venta de $10.99 se compondrá de $1.15 ($10.99 x 0.105) de IVU estatal y $0.11 ($10.99 x 0.01) de IVU municipal, para un total de $1.26.</w:t>
      </w:r>
    </w:p>
    <w:p w:rsidR="00BB6829" w:rsidRPr="00CB03C8" w:rsidRDefault="00297138" w:rsidP="007F1A8F">
      <w:pPr>
        <w:pStyle w:val="ListParagraph"/>
        <w:numPr>
          <w:ilvl w:val="0"/>
          <w:numId w:val="7"/>
        </w:numPr>
        <w:spacing w:after="0" w:line="240" w:lineRule="auto"/>
        <w:jc w:val="both"/>
        <w:rPr>
          <w:rFonts w:ascii="Times New Roman" w:hAnsi="Times New Roman"/>
          <w:b/>
          <w:sz w:val="24"/>
          <w:szCs w:val="24"/>
          <w:lang w:val="es-ES"/>
        </w:rPr>
      </w:pPr>
      <w:r w:rsidRPr="00CB03C8">
        <w:rPr>
          <w:rFonts w:ascii="Times New Roman" w:hAnsi="Times New Roman"/>
          <w:b/>
          <w:sz w:val="24"/>
          <w:lang w:val="es-ES"/>
        </w:rPr>
        <w:t>¿El aumento al IVU de 11.5% es efectivo al 1 de julio de 2015 a todos los servicios rendidos a una persona dedicada al ejercicio de una actividad de industria o negocio mejor conocidos como “Servicios entre Comerciantes” o “B2B”?</w:t>
      </w:r>
      <w:r w:rsidR="009158B8" w:rsidRPr="00CB03C8">
        <w:rPr>
          <w:rFonts w:ascii="Times New Roman" w:hAnsi="Times New Roman"/>
          <w:b/>
          <w:sz w:val="24"/>
          <w:lang w:val="es-ES"/>
        </w:rPr>
        <w:t xml:space="preserve"> </w:t>
      </w:r>
    </w:p>
    <w:p w:rsidR="00207E27" w:rsidRPr="00CB03C8" w:rsidRDefault="00297138" w:rsidP="007F1A8F">
      <w:pPr>
        <w:pStyle w:val="ListParagraph"/>
        <w:numPr>
          <w:ilvl w:val="0"/>
          <w:numId w:val="6"/>
        </w:numPr>
        <w:spacing w:after="0" w:line="240" w:lineRule="auto"/>
        <w:jc w:val="both"/>
        <w:rPr>
          <w:rFonts w:ascii="Times New Roman" w:hAnsi="Times New Roman"/>
          <w:b/>
          <w:sz w:val="24"/>
          <w:szCs w:val="24"/>
          <w:lang w:val="es-ES"/>
        </w:rPr>
      </w:pPr>
      <w:r w:rsidRPr="00CB03C8">
        <w:rPr>
          <w:rFonts w:ascii="Times New Roman" w:hAnsi="Times New Roman"/>
          <w:sz w:val="24"/>
          <w:szCs w:val="24"/>
          <w:lang w:val="es-ES"/>
        </w:rPr>
        <w:t xml:space="preserve">Existen ciertos servicios rendidos a una persona dedicada al ejercicio de industria o negocio que actualmente están sujetos al IVU de 7% (“Servicios entre Comerciantes Tributables”), por lo que a estos Servicios entre Comerciantes o B2B que ya eran tributables les aplica el aumento al 11.5% desde </w:t>
      </w:r>
      <w:r w:rsidRPr="00CB03C8">
        <w:rPr>
          <w:rFonts w:ascii="Times New Roman" w:hAnsi="Times New Roman"/>
          <w:sz w:val="24"/>
          <w:szCs w:val="24"/>
          <w:u w:val="single"/>
          <w:lang w:val="es-ES"/>
        </w:rPr>
        <w:t>el 1 de julio de 2015</w:t>
      </w:r>
      <w:r w:rsidRPr="00CB03C8">
        <w:rPr>
          <w:rFonts w:ascii="Times New Roman" w:hAnsi="Times New Roman"/>
          <w:sz w:val="24"/>
          <w:szCs w:val="24"/>
          <w:lang w:val="es-ES"/>
        </w:rPr>
        <w:t xml:space="preserve">. </w:t>
      </w:r>
    </w:p>
    <w:p w:rsidR="00297138" w:rsidRPr="00207E27" w:rsidRDefault="00297138" w:rsidP="00207E27">
      <w:pPr>
        <w:pStyle w:val="ListParagraph"/>
        <w:spacing w:after="0" w:line="240" w:lineRule="auto"/>
        <w:jc w:val="both"/>
        <w:rPr>
          <w:rFonts w:ascii="Times New Roman" w:hAnsi="Times New Roman"/>
          <w:b/>
          <w:sz w:val="24"/>
          <w:szCs w:val="24"/>
          <w:lang w:val="es-ES"/>
        </w:rPr>
      </w:pPr>
      <w:r w:rsidRPr="009158B8">
        <w:rPr>
          <w:rFonts w:ascii="Times New Roman" w:hAnsi="Times New Roman"/>
          <w:sz w:val="24"/>
          <w:szCs w:val="24"/>
          <w:lang w:val="es-ES"/>
        </w:rPr>
        <w:t xml:space="preserve"> </w:t>
      </w:r>
    </w:p>
    <w:tbl>
      <w:tblPr>
        <w:tblStyle w:val="MediumGrid1-Accent5"/>
        <w:tblW w:w="0" w:type="auto"/>
        <w:tblInd w:w="468" w:type="dxa"/>
        <w:tblLook w:val="04A0"/>
      </w:tblPr>
      <w:tblGrid>
        <w:gridCol w:w="2724"/>
        <w:gridCol w:w="3192"/>
        <w:gridCol w:w="3084"/>
      </w:tblGrid>
      <w:tr w:rsidR="00207E27" w:rsidTr="00BB6829">
        <w:trPr>
          <w:cnfStyle w:val="100000000000"/>
        </w:trPr>
        <w:tc>
          <w:tcPr>
            <w:cnfStyle w:val="001000000000"/>
            <w:tcW w:w="9000" w:type="dxa"/>
            <w:gridSpan w:val="3"/>
            <w:shd w:val="clear" w:color="auto" w:fill="548DD4" w:themeFill="text2" w:themeFillTint="99"/>
          </w:tcPr>
          <w:p w:rsidR="00207E27" w:rsidRPr="00207E27" w:rsidRDefault="00207E27" w:rsidP="00207E27">
            <w:pPr>
              <w:pStyle w:val="ListParagraph"/>
              <w:spacing w:after="0" w:line="240" w:lineRule="auto"/>
              <w:ind w:left="0"/>
              <w:jc w:val="center"/>
              <w:rPr>
                <w:rFonts w:ascii="Times New Roman" w:hAnsi="Times New Roman"/>
                <w:i/>
                <w:sz w:val="24"/>
                <w:szCs w:val="24"/>
                <w:lang w:val="es-ES"/>
              </w:rPr>
            </w:pPr>
            <w:r w:rsidRPr="00BB6829">
              <w:rPr>
                <w:rFonts w:ascii="Times New Roman" w:hAnsi="Times New Roman"/>
                <w:i/>
                <w:sz w:val="32"/>
                <w:szCs w:val="24"/>
                <w:lang w:val="es-ES"/>
              </w:rPr>
              <w:t xml:space="preserve">Servicios entre Comerciantes Tributables </w:t>
            </w:r>
          </w:p>
        </w:tc>
      </w:tr>
      <w:tr w:rsidR="00207E27" w:rsidTr="00BB6829">
        <w:trPr>
          <w:cnfStyle w:val="000000100000"/>
        </w:trPr>
        <w:tc>
          <w:tcPr>
            <w:cnfStyle w:val="001000000000"/>
            <w:tcW w:w="2724" w:type="dxa"/>
          </w:tcPr>
          <w:p w:rsidR="00207E27" w:rsidRPr="00207E27" w:rsidRDefault="00207E27" w:rsidP="007F1A8F">
            <w:pPr>
              <w:pStyle w:val="ListParagraph"/>
              <w:numPr>
                <w:ilvl w:val="0"/>
                <w:numId w:val="3"/>
              </w:numPr>
              <w:spacing w:after="0" w:line="240" w:lineRule="auto"/>
              <w:jc w:val="both"/>
              <w:rPr>
                <w:rFonts w:ascii="Times New Roman" w:hAnsi="Times New Roman"/>
                <w:b w:val="0"/>
                <w:sz w:val="24"/>
                <w:szCs w:val="24"/>
                <w:lang w:val="es-ES"/>
              </w:rPr>
            </w:pPr>
            <w:r w:rsidRPr="00207E27">
              <w:rPr>
                <w:rFonts w:ascii="Times New Roman" w:hAnsi="Times New Roman"/>
                <w:b w:val="0"/>
                <w:sz w:val="24"/>
                <w:szCs w:val="24"/>
                <w:lang w:val="es-ES"/>
              </w:rPr>
              <w:t>Cargos bancarios</w:t>
            </w:r>
          </w:p>
        </w:tc>
        <w:tc>
          <w:tcPr>
            <w:tcW w:w="3192" w:type="dxa"/>
          </w:tcPr>
          <w:p w:rsidR="00207E27" w:rsidRDefault="00207E27" w:rsidP="00207E27">
            <w:pPr>
              <w:pStyle w:val="ListParagraph"/>
              <w:spacing w:after="0" w:line="240" w:lineRule="auto"/>
              <w:ind w:left="0"/>
              <w:cnfStyle w:val="000000100000"/>
              <w:rPr>
                <w:rFonts w:ascii="Times New Roman" w:hAnsi="Times New Roman"/>
                <w:b/>
                <w:sz w:val="24"/>
                <w:szCs w:val="24"/>
                <w:lang w:val="es-ES"/>
              </w:rPr>
            </w:pPr>
            <w:r>
              <w:rPr>
                <w:rFonts w:ascii="Times New Roman" w:hAnsi="Times New Roman"/>
                <w:sz w:val="24"/>
                <w:szCs w:val="24"/>
                <w:lang w:val="es-ES"/>
              </w:rPr>
              <w:t xml:space="preserve">4. Servicios </w:t>
            </w:r>
            <w:r w:rsidRPr="009158B8">
              <w:rPr>
                <w:rFonts w:ascii="Times New Roman" w:hAnsi="Times New Roman"/>
                <w:sz w:val="24"/>
                <w:szCs w:val="24"/>
                <w:lang w:val="es-ES"/>
              </w:rPr>
              <w:t>de limpieza (excepto condominios)</w:t>
            </w:r>
          </w:p>
        </w:tc>
        <w:tc>
          <w:tcPr>
            <w:tcW w:w="3084" w:type="dxa"/>
          </w:tcPr>
          <w:p w:rsidR="00207E27" w:rsidRPr="00207E27" w:rsidRDefault="00207E27" w:rsidP="00207E27">
            <w:pPr>
              <w:pStyle w:val="ListParagraph"/>
              <w:spacing w:after="0" w:line="240" w:lineRule="auto"/>
              <w:ind w:left="0"/>
              <w:cnfStyle w:val="000000100000"/>
              <w:rPr>
                <w:rFonts w:ascii="Times New Roman" w:hAnsi="Times New Roman"/>
                <w:sz w:val="24"/>
                <w:szCs w:val="24"/>
                <w:lang w:val="es-ES"/>
              </w:rPr>
            </w:pPr>
            <w:r w:rsidRPr="00207E27">
              <w:rPr>
                <w:rFonts w:ascii="Times New Roman" w:hAnsi="Times New Roman"/>
                <w:sz w:val="24"/>
                <w:szCs w:val="24"/>
                <w:lang w:val="es-ES"/>
              </w:rPr>
              <w:t xml:space="preserve">7. </w:t>
            </w:r>
            <w:r w:rsidRPr="009158B8">
              <w:rPr>
                <w:rFonts w:ascii="Times New Roman" w:hAnsi="Times New Roman"/>
                <w:sz w:val="24"/>
                <w:szCs w:val="24"/>
                <w:lang w:val="es-ES"/>
              </w:rPr>
              <w:t>Servicios de telecomunicaciones</w:t>
            </w:r>
          </w:p>
        </w:tc>
      </w:tr>
      <w:tr w:rsidR="00207E27" w:rsidRPr="007377CD" w:rsidTr="00BB6829">
        <w:tc>
          <w:tcPr>
            <w:cnfStyle w:val="001000000000"/>
            <w:tcW w:w="2724" w:type="dxa"/>
          </w:tcPr>
          <w:p w:rsidR="00BB6829" w:rsidRDefault="00207E27" w:rsidP="007F1A8F">
            <w:pPr>
              <w:pStyle w:val="ListParagraph"/>
              <w:numPr>
                <w:ilvl w:val="0"/>
                <w:numId w:val="3"/>
              </w:numPr>
              <w:spacing w:after="0" w:line="240" w:lineRule="auto"/>
              <w:rPr>
                <w:rFonts w:ascii="Times New Roman" w:hAnsi="Times New Roman"/>
                <w:b w:val="0"/>
                <w:sz w:val="24"/>
                <w:szCs w:val="24"/>
                <w:lang w:val="es-ES"/>
              </w:rPr>
            </w:pPr>
            <w:r w:rsidRPr="00207E27">
              <w:rPr>
                <w:rFonts w:ascii="Times New Roman" w:hAnsi="Times New Roman"/>
                <w:b w:val="0"/>
                <w:sz w:val="24"/>
                <w:szCs w:val="24"/>
                <w:lang w:val="es-ES"/>
              </w:rPr>
              <w:t>Servicios de cobros de cuentas</w:t>
            </w:r>
          </w:p>
          <w:p w:rsidR="00207E27" w:rsidRPr="00207E27" w:rsidRDefault="00BB6829" w:rsidP="00BB6829">
            <w:pPr>
              <w:pStyle w:val="ListParagraph"/>
              <w:tabs>
                <w:tab w:val="left" w:pos="117"/>
              </w:tabs>
              <w:spacing w:after="0" w:line="240" w:lineRule="auto"/>
              <w:rPr>
                <w:rFonts w:ascii="Times New Roman" w:hAnsi="Times New Roman"/>
                <w:b w:val="0"/>
                <w:sz w:val="24"/>
                <w:szCs w:val="24"/>
                <w:lang w:val="es-ES"/>
              </w:rPr>
            </w:pPr>
            <w:r>
              <w:rPr>
                <w:rFonts w:ascii="Times New Roman" w:hAnsi="Times New Roman"/>
                <w:b w:val="0"/>
                <w:sz w:val="24"/>
                <w:szCs w:val="24"/>
                <w:lang w:val="es-ES"/>
              </w:rPr>
              <w:lastRenderedPageBreak/>
              <w:t xml:space="preserve">( </w:t>
            </w:r>
            <w:r w:rsidR="00207E27">
              <w:rPr>
                <w:rFonts w:ascii="Times New Roman" w:hAnsi="Times New Roman"/>
                <w:b w:val="0"/>
                <w:sz w:val="24"/>
                <w:szCs w:val="24"/>
                <w:lang w:val="es-ES"/>
              </w:rPr>
              <w:t>C</w:t>
            </w:r>
            <w:r w:rsidR="00207E27" w:rsidRPr="00207E27">
              <w:rPr>
                <w:rFonts w:ascii="Times New Roman" w:hAnsi="Times New Roman"/>
                <w:b w:val="0"/>
                <w:sz w:val="24"/>
                <w:szCs w:val="24"/>
                <w:lang w:val="es-ES"/>
              </w:rPr>
              <w:t xml:space="preserve">ollection </w:t>
            </w:r>
            <w:r w:rsidR="00207E27">
              <w:rPr>
                <w:rFonts w:ascii="Times New Roman" w:hAnsi="Times New Roman"/>
                <w:b w:val="0"/>
                <w:sz w:val="24"/>
                <w:szCs w:val="24"/>
                <w:lang w:val="es-ES"/>
              </w:rPr>
              <w:t>S</w:t>
            </w:r>
            <w:r>
              <w:rPr>
                <w:rFonts w:ascii="Times New Roman" w:hAnsi="Times New Roman"/>
                <w:b w:val="0"/>
                <w:sz w:val="24"/>
                <w:szCs w:val="24"/>
                <w:lang w:val="es-ES"/>
              </w:rPr>
              <w:t>ervices</w:t>
            </w:r>
            <w:r w:rsidR="00207E27" w:rsidRPr="00207E27">
              <w:rPr>
                <w:rFonts w:ascii="Times New Roman" w:hAnsi="Times New Roman"/>
                <w:b w:val="0"/>
                <w:sz w:val="24"/>
                <w:szCs w:val="24"/>
                <w:lang w:val="es-ES"/>
              </w:rPr>
              <w:t>)</w:t>
            </w:r>
          </w:p>
        </w:tc>
        <w:tc>
          <w:tcPr>
            <w:tcW w:w="3192" w:type="dxa"/>
          </w:tcPr>
          <w:p w:rsidR="00207E27" w:rsidRDefault="00207E27" w:rsidP="00207E27">
            <w:pPr>
              <w:pStyle w:val="ListParagraph"/>
              <w:spacing w:after="0" w:line="240" w:lineRule="auto"/>
              <w:ind w:left="0"/>
              <w:jc w:val="both"/>
              <w:cnfStyle w:val="000000000000"/>
              <w:rPr>
                <w:rFonts w:ascii="Times New Roman" w:hAnsi="Times New Roman"/>
                <w:sz w:val="24"/>
                <w:szCs w:val="24"/>
                <w:lang w:val="es-ES"/>
              </w:rPr>
            </w:pPr>
          </w:p>
          <w:p w:rsidR="00207E27" w:rsidRPr="00207E27" w:rsidRDefault="00207E27" w:rsidP="00207E27">
            <w:pPr>
              <w:pStyle w:val="ListParagraph"/>
              <w:spacing w:after="0" w:line="240" w:lineRule="auto"/>
              <w:ind w:left="0"/>
              <w:jc w:val="both"/>
              <w:cnfStyle w:val="000000000000"/>
              <w:rPr>
                <w:rFonts w:ascii="Times New Roman" w:hAnsi="Times New Roman"/>
                <w:sz w:val="24"/>
                <w:szCs w:val="24"/>
                <w:lang w:val="es-ES"/>
              </w:rPr>
            </w:pPr>
            <w:r w:rsidRPr="00207E27">
              <w:rPr>
                <w:rFonts w:ascii="Times New Roman" w:hAnsi="Times New Roman"/>
                <w:sz w:val="24"/>
                <w:szCs w:val="24"/>
                <w:lang w:val="es-ES"/>
              </w:rPr>
              <w:t xml:space="preserve">5. </w:t>
            </w:r>
            <w:r w:rsidRPr="009158B8">
              <w:rPr>
                <w:rFonts w:ascii="Times New Roman" w:hAnsi="Times New Roman"/>
                <w:sz w:val="24"/>
                <w:szCs w:val="24"/>
                <w:lang w:val="es-ES"/>
              </w:rPr>
              <w:t>Servicios de lavanderías</w:t>
            </w:r>
          </w:p>
        </w:tc>
        <w:tc>
          <w:tcPr>
            <w:tcW w:w="3084" w:type="dxa"/>
          </w:tcPr>
          <w:p w:rsidR="00207E27" w:rsidRPr="00207E27" w:rsidRDefault="00207E27" w:rsidP="00207E27">
            <w:pPr>
              <w:pStyle w:val="ListParagraph"/>
              <w:spacing w:after="0" w:line="240" w:lineRule="auto"/>
              <w:ind w:left="0"/>
              <w:cnfStyle w:val="000000000000"/>
              <w:rPr>
                <w:rFonts w:ascii="Times New Roman" w:hAnsi="Times New Roman"/>
                <w:sz w:val="24"/>
                <w:szCs w:val="24"/>
                <w:lang w:val="es-ES"/>
              </w:rPr>
            </w:pPr>
            <w:r w:rsidRPr="00207E27">
              <w:rPr>
                <w:rFonts w:ascii="Times New Roman" w:hAnsi="Times New Roman"/>
                <w:sz w:val="24"/>
                <w:szCs w:val="24"/>
                <w:lang w:val="es-ES"/>
              </w:rPr>
              <w:t xml:space="preserve">8. </w:t>
            </w:r>
            <w:r w:rsidRPr="009158B8">
              <w:rPr>
                <w:rFonts w:ascii="Times New Roman" w:hAnsi="Times New Roman"/>
                <w:sz w:val="24"/>
                <w:szCs w:val="24"/>
                <w:lang w:val="es-ES"/>
              </w:rPr>
              <w:t xml:space="preserve">Servicios de recogido de desperdicios (excepto </w:t>
            </w:r>
            <w:r w:rsidRPr="009158B8">
              <w:rPr>
                <w:rFonts w:ascii="Times New Roman" w:hAnsi="Times New Roman"/>
                <w:sz w:val="24"/>
                <w:szCs w:val="24"/>
                <w:lang w:val="es-ES"/>
              </w:rPr>
              <w:lastRenderedPageBreak/>
              <w:t>condominios)</w:t>
            </w:r>
          </w:p>
        </w:tc>
      </w:tr>
      <w:tr w:rsidR="00207E27" w:rsidRPr="007377CD" w:rsidTr="00BB6829">
        <w:trPr>
          <w:cnfStyle w:val="000000100000"/>
        </w:trPr>
        <w:tc>
          <w:tcPr>
            <w:cnfStyle w:val="001000000000"/>
            <w:tcW w:w="2724" w:type="dxa"/>
          </w:tcPr>
          <w:p w:rsidR="00207E27" w:rsidRPr="00207E27" w:rsidRDefault="00207E27" w:rsidP="007F1A8F">
            <w:pPr>
              <w:pStyle w:val="ListParagraph"/>
              <w:numPr>
                <w:ilvl w:val="0"/>
                <w:numId w:val="3"/>
              </w:numPr>
              <w:spacing w:after="0" w:line="240" w:lineRule="auto"/>
              <w:rPr>
                <w:rFonts w:ascii="Times New Roman" w:hAnsi="Times New Roman"/>
                <w:b w:val="0"/>
                <w:sz w:val="24"/>
                <w:szCs w:val="24"/>
                <w:lang w:val="es-ES"/>
              </w:rPr>
            </w:pPr>
            <w:r w:rsidRPr="00207E27">
              <w:rPr>
                <w:rFonts w:ascii="Times New Roman" w:hAnsi="Times New Roman"/>
                <w:b w:val="0"/>
                <w:sz w:val="24"/>
                <w:szCs w:val="24"/>
                <w:lang w:val="es-ES"/>
              </w:rPr>
              <w:lastRenderedPageBreak/>
              <w:t>Servicios de seguridad (excepto condominios)</w:t>
            </w:r>
          </w:p>
        </w:tc>
        <w:tc>
          <w:tcPr>
            <w:tcW w:w="3192" w:type="dxa"/>
          </w:tcPr>
          <w:p w:rsidR="00207E27" w:rsidRPr="00207E27" w:rsidRDefault="00207E27" w:rsidP="00207E27">
            <w:pPr>
              <w:pStyle w:val="ListParagraph"/>
              <w:spacing w:after="0" w:line="240" w:lineRule="auto"/>
              <w:ind w:left="0"/>
              <w:cnfStyle w:val="000000100000"/>
              <w:rPr>
                <w:rFonts w:ascii="Times New Roman" w:hAnsi="Times New Roman"/>
                <w:sz w:val="24"/>
                <w:szCs w:val="24"/>
                <w:lang w:val="es-ES"/>
              </w:rPr>
            </w:pPr>
            <w:r w:rsidRPr="00207E27">
              <w:rPr>
                <w:rFonts w:ascii="Times New Roman" w:hAnsi="Times New Roman"/>
                <w:sz w:val="24"/>
                <w:szCs w:val="24"/>
                <w:lang w:val="es-ES"/>
              </w:rPr>
              <w:t>6.</w:t>
            </w:r>
            <w:r>
              <w:rPr>
                <w:rFonts w:ascii="Times New Roman" w:hAnsi="Times New Roman"/>
                <w:sz w:val="24"/>
                <w:szCs w:val="24"/>
                <w:lang w:val="es-ES"/>
              </w:rPr>
              <w:t xml:space="preserve"> </w:t>
            </w:r>
            <w:r w:rsidRPr="00207E27">
              <w:rPr>
                <w:rFonts w:ascii="Times New Roman" w:hAnsi="Times New Roman"/>
                <w:sz w:val="24"/>
                <w:szCs w:val="24"/>
                <w:lang w:val="es-ES"/>
              </w:rPr>
              <w:t xml:space="preserve"> </w:t>
            </w:r>
            <w:r w:rsidRPr="009158B8">
              <w:rPr>
                <w:rFonts w:ascii="Times New Roman" w:hAnsi="Times New Roman"/>
                <w:sz w:val="24"/>
                <w:szCs w:val="24"/>
                <w:lang w:val="es-ES"/>
              </w:rPr>
              <w:t>Servicios de reparación y mantenimiento</w:t>
            </w:r>
            <w:r>
              <w:rPr>
                <w:rFonts w:ascii="Times New Roman" w:hAnsi="Times New Roman"/>
                <w:sz w:val="24"/>
                <w:szCs w:val="24"/>
                <w:lang w:val="es-ES"/>
              </w:rPr>
              <w:t xml:space="preserve"> </w:t>
            </w:r>
            <w:r w:rsidRPr="009158B8">
              <w:rPr>
                <w:rFonts w:ascii="Times New Roman" w:hAnsi="Times New Roman"/>
                <w:sz w:val="24"/>
                <w:szCs w:val="24"/>
                <w:lang w:val="es-ES"/>
              </w:rPr>
              <w:t>(excepto condominios)</w:t>
            </w:r>
          </w:p>
        </w:tc>
        <w:tc>
          <w:tcPr>
            <w:tcW w:w="3084" w:type="dxa"/>
          </w:tcPr>
          <w:p w:rsidR="00207E27" w:rsidRPr="00207E27" w:rsidRDefault="00207E27" w:rsidP="00207E27">
            <w:pPr>
              <w:pStyle w:val="ListParagraph"/>
              <w:spacing w:after="0" w:line="240" w:lineRule="auto"/>
              <w:ind w:left="0"/>
              <w:cnfStyle w:val="000000100000"/>
              <w:rPr>
                <w:rFonts w:ascii="Times New Roman" w:hAnsi="Times New Roman"/>
                <w:sz w:val="24"/>
                <w:szCs w:val="24"/>
                <w:lang w:val="es-ES"/>
              </w:rPr>
            </w:pPr>
            <w:r w:rsidRPr="00207E27">
              <w:rPr>
                <w:rFonts w:ascii="Times New Roman" w:hAnsi="Times New Roman"/>
                <w:sz w:val="24"/>
                <w:szCs w:val="24"/>
                <w:lang w:val="es-ES"/>
              </w:rPr>
              <w:t xml:space="preserve">9. </w:t>
            </w:r>
            <w:r w:rsidRPr="009158B8">
              <w:rPr>
                <w:rFonts w:ascii="Times New Roman" w:hAnsi="Times New Roman"/>
                <w:sz w:val="24"/>
                <w:szCs w:val="24"/>
                <w:lang w:val="es-ES"/>
              </w:rPr>
              <w:t>Arrendamiento or</w:t>
            </w:r>
            <w:r>
              <w:rPr>
                <w:rFonts w:ascii="Times New Roman" w:hAnsi="Times New Roman"/>
                <w:sz w:val="24"/>
                <w:szCs w:val="24"/>
                <w:lang w:val="es-ES"/>
              </w:rPr>
              <w:t>dinario de vehículo de motor (“Operating L</w:t>
            </w:r>
            <w:r w:rsidRPr="009158B8">
              <w:rPr>
                <w:rFonts w:ascii="Times New Roman" w:hAnsi="Times New Roman"/>
                <w:sz w:val="24"/>
                <w:szCs w:val="24"/>
                <w:lang w:val="es-ES"/>
              </w:rPr>
              <w:t>eases”)</w:t>
            </w:r>
          </w:p>
        </w:tc>
      </w:tr>
    </w:tbl>
    <w:p w:rsidR="00207E27" w:rsidRPr="009158B8" w:rsidRDefault="00207E27" w:rsidP="00207E27">
      <w:pPr>
        <w:pStyle w:val="ListParagraph"/>
        <w:spacing w:after="0" w:line="240" w:lineRule="auto"/>
        <w:jc w:val="both"/>
        <w:rPr>
          <w:rFonts w:ascii="Times New Roman" w:hAnsi="Times New Roman"/>
          <w:b/>
          <w:sz w:val="24"/>
          <w:szCs w:val="24"/>
          <w:lang w:val="es-ES"/>
        </w:rPr>
      </w:pPr>
    </w:p>
    <w:p w:rsidR="00297138" w:rsidRPr="00CB6382" w:rsidRDefault="00297138" w:rsidP="00CB6382">
      <w:pPr>
        <w:pStyle w:val="ListParagraph"/>
        <w:numPr>
          <w:ilvl w:val="0"/>
          <w:numId w:val="28"/>
        </w:numPr>
        <w:spacing w:after="120" w:line="240" w:lineRule="auto"/>
        <w:rPr>
          <w:rFonts w:ascii="Times New Roman" w:hAnsi="Times New Roman"/>
          <w:sz w:val="24"/>
          <w:szCs w:val="24"/>
          <w:lang w:val="es-ES"/>
        </w:rPr>
      </w:pPr>
      <w:r w:rsidRPr="00CB6382">
        <w:rPr>
          <w:rFonts w:ascii="Times New Roman" w:hAnsi="Times New Roman"/>
          <w:sz w:val="24"/>
          <w:szCs w:val="24"/>
          <w:lang w:val="es-ES"/>
        </w:rPr>
        <w:t>Cualquier otro servicio rendido a otro comerciante que no esté incluido en el listado arriba no estará sujeto a la tasa del 11.5%.  No obstante, el mismo pudiera estar sujeto a la tasa del 4% efectivo el 1 de octubre de 2015</w:t>
      </w:r>
      <w:r w:rsidR="00630618" w:rsidRPr="00CB6382">
        <w:rPr>
          <w:rFonts w:ascii="Times New Roman" w:hAnsi="Times New Roman"/>
          <w:sz w:val="24"/>
          <w:szCs w:val="24"/>
          <w:lang w:val="es-ES"/>
        </w:rPr>
        <w:t>.</w:t>
      </w:r>
    </w:p>
    <w:p w:rsidR="00BB6829" w:rsidRPr="00CB03C8" w:rsidRDefault="00297138" w:rsidP="007F1A8F">
      <w:pPr>
        <w:pStyle w:val="ListParagraph"/>
        <w:numPr>
          <w:ilvl w:val="0"/>
          <w:numId w:val="7"/>
        </w:numPr>
        <w:spacing w:before="120" w:after="120" w:line="240" w:lineRule="auto"/>
        <w:jc w:val="both"/>
        <w:rPr>
          <w:rFonts w:ascii="Times New Roman" w:hAnsi="Times New Roman"/>
          <w:sz w:val="24"/>
          <w:lang w:val="es-ES"/>
        </w:rPr>
      </w:pPr>
      <w:r w:rsidRPr="00CB03C8">
        <w:rPr>
          <w:rFonts w:ascii="Times New Roman" w:hAnsi="Times New Roman"/>
          <w:b/>
          <w:sz w:val="24"/>
          <w:lang w:val="es-ES"/>
        </w:rPr>
        <w:t>¿Qué procedimiento, si alguno, deben realizar los comerciantes en sus sistemas para que, efectivo el 1 de julio de 2015 puedan cobrar el IVU al 11.5%?</w:t>
      </w:r>
    </w:p>
    <w:p w:rsidR="004C6076" w:rsidRPr="002E6CFE" w:rsidRDefault="00297138" w:rsidP="002E6CFE">
      <w:pPr>
        <w:pStyle w:val="ListParagraph"/>
        <w:numPr>
          <w:ilvl w:val="0"/>
          <w:numId w:val="6"/>
        </w:numPr>
        <w:spacing w:after="120" w:line="240" w:lineRule="auto"/>
        <w:jc w:val="both"/>
        <w:rPr>
          <w:rFonts w:ascii="Times New Roman" w:hAnsi="Times New Roman"/>
          <w:sz w:val="24"/>
          <w:lang w:val="es-ES"/>
        </w:rPr>
      </w:pPr>
      <w:r w:rsidRPr="00CB03C8">
        <w:rPr>
          <w:rFonts w:ascii="Times New Roman" w:hAnsi="Times New Roman"/>
          <w:sz w:val="24"/>
          <w:lang w:val="es-ES"/>
        </w:rPr>
        <w:t>Todos los comerciantes deben revisar sus sistemas de contabilidad y la programación de sus sistemas de caja y de sus puntos de venta (“POS” por sus siglas en ingles), incluyendo los terminales fiscales que se utilizan bajo el Programa de Fiscalización del Impuesto sobre Ventas y Uso mejor conocido como IVU Loto, para que a partir del 1 de julio de 2015, se cobre en toda venta de partidas tributables, el 10.5% del IVU Estatal y se continúe cobrando el 1% del IVU municipal, en los casos en que sea aplicable.  El comerciante deberá comunicarse con su proveedor de servicio para configurar sus sistemas para comenzar a cobrar la tasa del 11.5%.</w:t>
      </w:r>
      <w:r w:rsidR="004C6076" w:rsidRPr="002E6CFE">
        <w:rPr>
          <w:rFonts w:ascii="Times New Roman" w:eastAsia="Times New Roman" w:hAnsi="Times New Roman"/>
          <w:sz w:val="24"/>
          <w:szCs w:val="24"/>
          <w:lang w:val="es-PR" w:eastAsia="es-ES"/>
        </w:rPr>
        <w:t xml:space="preserve"> </w:t>
      </w:r>
    </w:p>
    <w:p w:rsidR="004C6076" w:rsidRPr="007B60E5" w:rsidRDefault="004C6076" w:rsidP="004C6076">
      <w:pPr>
        <w:pStyle w:val="ListParagraph"/>
        <w:numPr>
          <w:ilvl w:val="0"/>
          <w:numId w:val="22"/>
        </w:numPr>
        <w:shd w:val="clear" w:color="auto" w:fill="FFFFFF"/>
        <w:spacing w:after="120" w:line="300" w:lineRule="atLeast"/>
        <w:rPr>
          <w:rFonts w:ascii="Times New Roman" w:eastAsia="Times New Roman" w:hAnsi="Times New Roman"/>
          <w:sz w:val="24"/>
          <w:szCs w:val="24"/>
          <w:highlight w:val="yellow"/>
          <w:lang w:val="es-PR" w:eastAsia="es-ES"/>
        </w:rPr>
      </w:pPr>
      <w:r w:rsidRPr="007B60E5">
        <w:rPr>
          <w:rFonts w:ascii="Times New Roman" w:eastAsia="Times New Roman" w:hAnsi="Times New Roman"/>
          <w:b/>
          <w:bCs/>
          <w:sz w:val="24"/>
          <w:szCs w:val="24"/>
          <w:highlight w:val="yellow"/>
          <w:lang w:val="es-PR" w:eastAsia="es-ES"/>
        </w:rPr>
        <w:t>¿Qué tengo que hacer para cumplir con la nueva tasa de IVU de 11.5%?</w:t>
      </w:r>
    </w:p>
    <w:p w:rsidR="004C6076" w:rsidRPr="007B60E5" w:rsidRDefault="004C6076" w:rsidP="002E6CFE">
      <w:pPr>
        <w:pStyle w:val="ListParagraph"/>
        <w:numPr>
          <w:ilvl w:val="0"/>
          <w:numId w:val="25"/>
        </w:numPr>
        <w:shd w:val="clear" w:color="auto" w:fill="FFFFFF"/>
        <w:spacing w:after="120" w:line="300" w:lineRule="atLeast"/>
        <w:ind w:left="1440"/>
        <w:rPr>
          <w:rFonts w:ascii="Times New Roman" w:eastAsia="Times New Roman" w:hAnsi="Times New Roman"/>
          <w:sz w:val="24"/>
          <w:szCs w:val="24"/>
          <w:highlight w:val="yellow"/>
          <w:lang w:val="es-PR" w:eastAsia="es-ES"/>
        </w:rPr>
      </w:pPr>
      <w:r w:rsidRPr="007B60E5">
        <w:rPr>
          <w:rFonts w:ascii="Times New Roman" w:eastAsia="Times New Roman" w:hAnsi="Times New Roman"/>
          <w:sz w:val="24"/>
          <w:szCs w:val="24"/>
          <w:highlight w:val="yellow"/>
          <w:lang w:val="es-PR" w:eastAsia="es-ES"/>
        </w:rPr>
        <w:t xml:space="preserve">En el caso de los comerciantes que procesan el IVU Loto a través de EVERTEC, si tienen un terminal que hace el procesamiento de IVU automático, el terminal recibirá una actualización a las 12:01 am del 1ro de julio con la nueva tasa de IVU. Si procesas el IVU de manera manual, es tu responsabilidad entrar en el terminal la nueva tasa. </w:t>
      </w:r>
    </w:p>
    <w:p w:rsidR="004C6076" w:rsidRPr="007B60E5" w:rsidRDefault="004C6076" w:rsidP="002E6CFE">
      <w:pPr>
        <w:pStyle w:val="ListParagraph"/>
        <w:numPr>
          <w:ilvl w:val="0"/>
          <w:numId w:val="22"/>
        </w:numPr>
        <w:shd w:val="clear" w:color="auto" w:fill="FFFFFF"/>
        <w:spacing w:after="120" w:line="300" w:lineRule="atLeast"/>
        <w:rPr>
          <w:rFonts w:ascii="Times New Roman" w:eastAsia="Times New Roman" w:hAnsi="Times New Roman"/>
          <w:sz w:val="24"/>
          <w:szCs w:val="24"/>
          <w:highlight w:val="yellow"/>
          <w:lang w:val="es-PR" w:eastAsia="es-ES"/>
        </w:rPr>
      </w:pPr>
      <w:r w:rsidRPr="007B60E5">
        <w:rPr>
          <w:rFonts w:ascii="Times New Roman" w:eastAsia="Times New Roman" w:hAnsi="Times New Roman"/>
          <w:b/>
          <w:bCs/>
          <w:sz w:val="24"/>
          <w:szCs w:val="24"/>
          <w:highlight w:val="yellow"/>
          <w:lang w:val="es-PR" w:eastAsia="es-ES"/>
        </w:rPr>
        <w:t>¿A quién llamo si tengo algún problema al procesar la nueva tasa de IVU de 11.5%?</w:t>
      </w:r>
    </w:p>
    <w:p w:rsidR="004C6076" w:rsidRPr="007B60E5" w:rsidRDefault="004C6076" w:rsidP="007B60E5">
      <w:pPr>
        <w:pStyle w:val="ListParagraph"/>
        <w:numPr>
          <w:ilvl w:val="0"/>
          <w:numId w:val="25"/>
        </w:numPr>
        <w:shd w:val="clear" w:color="auto" w:fill="FFFFFF"/>
        <w:spacing w:after="0" w:line="300" w:lineRule="atLeast"/>
        <w:ind w:left="1440"/>
        <w:rPr>
          <w:rFonts w:ascii="Times New Roman" w:eastAsia="Times New Roman" w:hAnsi="Times New Roman"/>
          <w:sz w:val="24"/>
          <w:szCs w:val="24"/>
          <w:highlight w:val="yellow"/>
          <w:lang w:eastAsia="es-ES"/>
        </w:rPr>
      </w:pPr>
      <w:r w:rsidRPr="007B60E5">
        <w:rPr>
          <w:rFonts w:ascii="Times New Roman" w:eastAsia="Times New Roman" w:hAnsi="Times New Roman"/>
          <w:sz w:val="24"/>
          <w:szCs w:val="24"/>
          <w:highlight w:val="yellow"/>
          <w:lang w:val="es-PR" w:eastAsia="es-ES"/>
        </w:rPr>
        <w:t xml:space="preserve">Si tiene problemas al procesar la nueva tasa de IVU debe comunicarse con su procesador. </w:t>
      </w:r>
      <w:r w:rsidRPr="007B60E5">
        <w:rPr>
          <w:rFonts w:ascii="Times New Roman" w:eastAsia="Times New Roman" w:hAnsi="Times New Roman"/>
          <w:sz w:val="24"/>
          <w:szCs w:val="24"/>
          <w:highlight w:val="yellow"/>
          <w:lang w:eastAsia="es-ES"/>
        </w:rPr>
        <w:t>Abajo la lista de contactos.</w:t>
      </w:r>
    </w:p>
    <w:p w:rsidR="004C6076" w:rsidRPr="007B60E5" w:rsidRDefault="004C6076" w:rsidP="007B60E5">
      <w:pPr>
        <w:numPr>
          <w:ilvl w:val="0"/>
          <w:numId w:val="27"/>
        </w:numPr>
        <w:shd w:val="clear" w:color="auto" w:fill="FFFFFF"/>
        <w:tabs>
          <w:tab w:val="left" w:pos="1890"/>
        </w:tabs>
        <w:spacing w:after="0" w:line="300" w:lineRule="atLeast"/>
        <w:ind w:firstLine="990"/>
        <w:rPr>
          <w:rFonts w:ascii="Times New Roman" w:eastAsia="Times New Roman" w:hAnsi="Times New Roman"/>
          <w:sz w:val="24"/>
          <w:szCs w:val="24"/>
          <w:highlight w:val="yellow"/>
          <w:lang w:eastAsia="es-ES"/>
        </w:rPr>
      </w:pPr>
      <w:r w:rsidRPr="007B60E5">
        <w:rPr>
          <w:rFonts w:ascii="Times New Roman" w:eastAsia="Times New Roman" w:hAnsi="Times New Roman"/>
          <w:sz w:val="24"/>
          <w:szCs w:val="24"/>
          <w:highlight w:val="yellow"/>
          <w:lang w:eastAsia="es-ES"/>
        </w:rPr>
        <w:t>ELAVON: 678-731-4172</w:t>
      </w:r>
    </w:p>
    <w:p w:rsidR="004C6076" w:rsidRPr="007B60E5" w:rsidRDefault="004C6076" w:rsidP="007B60E5">
      <w:pPr>
        <w:numPr>
          <w:ilvl w:val="0"/>
          <w:numId w:val="27"/>
        </w:numPr>
        <w:shd w:val="clear" w:color="auto" w:fill="FFFFFF"/>
        <w:tabs>
          <w:tab w:val="left" w:pos="1890"/>
        </w:tabs>
        <w:spacing w:before="100" w:beforeAutospacing="1" w:after="100" w:afterAutospacing="1" w:line="300" w:lineRule="atLeast"/>
        <w:ind w:firstLine="990"/>
        <w:rPr>
          <w:rFonts w:ascii="Times New Roman" w:eastAsia="Times New Roman" w:hAnsi="Times New Roman"/>
          <w:sz w:val="24"/>
          <w:szCs w:val="24"/>
          <w:highlight w:val="yellow"/>
          <w:lang w:eastAsia="es-ES"/>
        </w:rPr>
      </w:pPr>
      <w:r w:rsidRPr="007B60E5">
        <w:rPr>
          <w:rFonts w:ascii="Times New Roman" w:eastAsia="Times New Roman" w:hAnsi="Times New Roman"/>
          <w:sz w:val="24"/>
          <w:szCs w:val="24"/>
          <w:highlight w:val="yellow"/>
          <w:lang w:eastAsia="es-ES"/>
        </w:rPr>
        <w:t>EVERTEC: 787-759-9999</w:t>
      </w:r>
    </w:p>
    <w:p w:rsidR="004C6076" w:rsidRPr="007B60E5" w:rsidRDefault="004C6076" w:rsidP="007B60E5">
      <w:pPr>
        <w:numPr>
          <w:ilvl w:val="0"/>
          <w:numId w:val="27"/>
        </w:numPr>
        <w:shd w:val="clear" w:color="auto" w:fill="FFFFFF"/>
        <w:tabs>
          <w:tab w:val="left" w:pos="1890"/>
        </w:tabs>
        <w:spacing w:before="100" w:beforeAutospacing="1" w:after="100" w:afterAutospacing="1" w:line="300" w:lineRule="atLeast"/>
        <w:ind w:firstLine="990"/>
        <w:rPr>
          <w:rFonts w:ascii="Times New Roman" w:eastAsia="Times New Roman" w:hAnsi="Times New Roman"/>
          <w:sz w:val="24"/>
          <w:szCs w:val="24"/>
          <w:highlight w:val="yellow"/>
          <w:lang w:eastAsia="es-ES"/>
        </w:rPr>
      </w:pPr>
      <w:r w:rsidRPr="007B60E5">
        <w:rPr>
          <w:rFonts w:ascii="Times New Roman" w:eastAsia="Times New Roman" w:hAnsi="Times New Roman"/>
          <w:sz w:val="24"/>
          <w:szCs w:val="24"/>
          <w:highlight w:val="yellow"/>
          <w:lang w:eastAsia="es-ES"/>
        </w:rPr>
        <w:t>MULTI BUSINESS: 787-248-3900</w:t>
      </w:r>
    </w:p>
    <w:p w:rsidR="004C6076" w:rsidRPr="007B60E5" w:rsidRDefault="004C6076" w:rsidP="007B60E5">
      <w:pPr>
        <w:numPr>
          <w:ilvl w:val="0"/>
          <w:numId w:val="27"/>
        </w:numPr>
        <w:shd w:val="clear" w:color="auto" w:fill="FFFFFF"/>
        <w:tabs>
          <w:tab w:val="left" w:pos="1890"/>
        </w:tabs>
        <w:spacing w:before="100" w:beforeAutospacing="1" w:after="100" w:afterAutospacing="1" w:line="300" w:lineRule="atLeast"/>
        <w:ind w:firstLine="990"/>
        <w:rPr>
          <w:rFonts w:ascii="Times New Roman" w:eastAsia="Times New Roman" w:hAnsi="Times New Roman"/>
          <w:sz w:val="24"/>
          <w:szCs w:val="24"/>
          <w:highlight w:val="yellow"/>
          <w:lang w:eastAsia="es-ES"/>
        </w:rPr>
      </w:pPr>
      <w:r w:rsidRPr="007B60E5">
        <w:rPr>
          <w:rFonts w:ascii="Times New Roman" w:eastAsia="Times New Roman" w:hAnsi="Times New Roman"/>
          <w:sz w:val="24"/>
          <w:szCs w:val="24"/>
          <w:highlight w:val="yellow"/>
          <w:lang w:eastAsia="es-ES"/>
        </w:rPr>
        <w:t>SERVICE DESK: 1-888-488-7890</w:t>
      </w:r>
    </w:p>
    <w:p w:rsidR="004C6076" w:rsidRPr="007B60E5" w:rsidRDefault="004C6076" w:rsidP="007B60E5">
      <w:pPr>
        <w:numPr>
          <w:ilvl w:val="0"/>
          <w:numId w:val="27"/>
        </w:numPr>
        <w:shd w:val="clear" w:color="auto" w:fill="FFFFFF"/>
        <w:tabs>
          <w:tab w:val="left" w:pos="1890"/>
        </w:tabs>
        <w:spacing w:before="100" w:beforeAutospacing="1" w:after="100" w:afterAutospacing="1" w:line="300" w:lineRule="atLeast"/>
        <w:ind w:firstLine="990"/>
        <w:rPr>
          <w:rFonts w:ascii="Times New Roman" w:eastAsia="Times New Roman" w:hAnsi="Times New Roman"/>
          <w:sz w:val="24"/>
          <w:szCs w:val="24"/>
          <w:highlight w:val="yellow"/>
          <w:lang w:eastAsia="es-ES"/>
        </w:rPr>
      </w:pPr>
      <w:r w:rsidRPr="007B60E5">
        <w:rPr>
          <w:rFonts w:ascii="Times New Roman" w:eastAsia="Times New Roman" w:hAnsi="Times New Roman"/>
          <w:sz w:val="24"/>
          <w:szCs w:val="24"/>
          <w:highlight w:val="yellow"/>
          <w:lang w:eastAsia="es-ES"/>
        </w:rPr>
        <w:t xml:space="preserve">SOFTEK: </w:t>
      </w:r>
      <w:hyperlink r:id="rId22" w:history="1">
        <w:r w:rsidRPr="007B60E5">
          <w:rPr>
            <w:rFonts w:ascii="Times New Roman" w:eastAsia="Times New Roman" w:hAnsi="Times New Roman"/>
            <w:sz w:val="24"/>
            <w:szCs w:val="24"/>
            <w:highlight w:val="yellow"/>
            <w:bdr w:val="none" w:sz="0" w:space="0" w:color="auto" w:frame="1"/>
            <w:lang w:eastAsia="es-ES"/>
          </w:rPr>
          <w:t>actualizatuterminal.com</w:t>
        </w:r>
      </w:hyperlink>
    </w:p>
    <w:p w:rsidR="002E6CFE" w:rsidRPr="007B60E5" w:rsidRDefault="004C6076" w:rsidP="007B60E5">
      <w:pPr>
        <w:numPr>
          <w:ilvl w:val="0"/>
          <w:numId w:val="27"/>
        </w:numPr>
        <w:shd w:val="clear" w:color="auto" w:fill="FFFFFF"/>
        <w:tabs>
          <w:tab w:val="left" w:pos="1890"/>
        </w:tabs>
        <w:spacing w:after="0" w:line="240" w:lineRule="auto"/>
        <w:ind w:firstLine="990"/>
        <w:rPr>
          <w:rFonts w:ascii="Times New Roman" w:eastAsia="Times New Roman" w:hAnsi="Times New Roman"/>
          <w:sz w:val="24"/>
          <w:szCs w:val="24"/>
          <w:highlight w:val="yellow"/>
          <w:lang w:eastAsia="es-ES"/>
        </w:rPr>
      </w:pPr>
      <w:r w:rsidRPr="007B60E5">
        <w:rPr>
          <w:rFonts w:ascii="Times New Roman" w:eastAsia="Times New Roman" w:hAnsi="Times New Roman"/>
          <w:sz w:val="24"/>
          <w:szCs w:val="24"/>
          <w:highlight w:val="yellow"/>
          <w:lang w:eastAsia="es-ES"/>
        </w:rPr>
        <w:t>World Wide Payments: 787-366-4696</w:t>
      </w:r>
    </w:p>
    <w:p w:rsidR="00BB6829" w:rsidRPr="002E6CFE" w:rsidRDefault="00297138" w:rsidP="002E6CFE">
      <w:pPr>
        <w:pStyle w:val="ListParagraph"/>
        <w:numPr>
          <w:ilvl w:val="0"/>
          <w:numId w:val="22"/>
        </w:numPr>
        <w:shd w:val="clear" w:color="auto" w:fill="FFFFFF"/>
        <w:tabs>
          <w:tab w:val="left" w:pos="1890"/>
        </w:tabs>
        <w:spacing w:after="0" w:line="240" w:lineRule="auto"/>
        <w:rPr>
          <w:rFonts w:ascii="Times New Roman" w:eastAsia="Times New Roman" w:hAnsi="Times New Roman"/>
          <w:sz w:val="24"/>
          <w:szCs w:val="24"/>
          <w:lang w:val="es-PR" w:eastAsia="es-ES"/>
        </w:rPr>
      </w:pPr>
      <w:r w:rsidRPr="002E6CFE">
        <w:rPr>
          <w:rFonts w:ascii="Times New Roman" w:hAnsi="Times New Roman"/>
          <w:b/>
          <w:sz w:val="24"/>
          <w:lang w:val="es-ES"/>
        </w:rPr>
        <w:t>¿Qué pasa con las Ventas a Plazo o Lay Away?</w:t>
      </w:r>
    </w:p>
    <w:p w:rsidR="00067BC6" w:rsidRPr="00067BC6" w:rsidRDefault="00297138" w:rsidP="007F1A8F">
      <w:pPr>
        <w:pStyle w:val="ListParagraph"/>
        <w:numPr>
          <w:ilvl w:val="0"/>
          <w:numId w:val="6"/>
        </w:numPr>
        <w:spacing w:after="120" w:line="240" w:lineRule="auto"/>
        <w:jc w:val="both"/>
        <w:rPr>
          <w:rFonts w:ascii="Times New Roman" w:hAnsi="Times New Roman"/>
          <w:sz w:val="24"/>
          <w:lang w:val="es-ES"/>
        </w:rPr>
      </w:pPr>
      <w:r w:rsidRPr="00CB03C8">
        <w:rPr>
          <w:rFonts w:ascii="Times New Roman" w:hAnsi="Times New Roman"/>
          <w:sz w:val="24"/>
          <w:lang w:val="es-PR"/>
        </w:rPr>
        <w:lastRenderedPageBreak/>
        <w:t>Las ventas bajo planes a plazos o Lay Away de partidas tributables estarán sujetas al IVU a la tasa que esté vigente al momento en que el pago final bajo el plan a plazos es efectuado y el artículo es efecti</w:t>
      </w:r>
      <w:r w:rsidR="00067BC6">
        <w:rPr>
          <w:rFonts w:ascii="Times New Roman" w:hAnsi="Times New Roman"/>
          <w:sz w:val="24"/>
          <w:lang w:val="es-PR"/>
        </w:rPr>
        <w:t>vamente entregado al comprador.</w:t>
      </w:r>
    </w:p>
    <w:p w:rsidR="00BB6829" w:rsidRPr="00067BC6" w:rsidRDefault="00067BC6" w:rsidP="00067BC6">
      <w:pPr>
        <w:spacing w:after="120" w:line="240" w:lineRule="auto"/>
        <w:jc w:val="both"/>
        <w:rPr>
          <w:rFonts w:ascii="Times New Roman" w:hAnsi="Times New Roman"/>
          <w:b/>
          <w:i/>
          <w:sz w:val="24"/>
          <w:u w:val="single"/>
          <w:lang w:val="es-ES"/>
        </w:rPr>
      </w:pPr>
      <w:r w:rsidRPr="00067BC6">
        <w:rPr>
          <w:rFonts w:ascii="Times New Roman" w:hAnsi="Times New Roman"/>
          <w:b/>
          <w:i/>
          <w:sz w:val="24"/>
          <w:u w:val="single"/>
          <w:lang w:val="es-PR"/>
        </w:rPr>
        <w:t>Exenciones</w:t>
      </w:r>
      <w:r w:rsidR="00297138" w:rsidRPr="00067BC6">
        <w:rPr>
          <w:rFonts w:ascii="Times New Roman" w:hAnsi="Times New Roman"/>
          <w:b/>
          <w:i/>
          <w:sz w:val="24"/>
          <w:u w:val="single"/>
          <w:lang w:val="es-PR"/>
        </w:rPr>
        <w:t xml:space="preserve"> </w:t>
      </w:r>
    </w:p>
    <w:p w:rsidR="00BB6829" w:rsidRPr="00CB03C8" w:rsidRDefault="00297138" w:rsidP="007F1A8F">
      <w:pPr>
        <w:pStyle w:val="ListParagraph"/>
        <w:numPr>
          <w:ilvl w:val="0"/>
          <w:numId w:val="7"/>
        </w:numPr>
        <w:spacing w:after="120" w:line="240" w:lineRule="auto"/>
        <w:jc w:val="both"/>
        <w:rPr>
          <w:rFonts w:ascii="Times New Roman" w:hAnsi="Times New Roman"/>
          <w:sz w:val="24"/>
          <w:lang w:val="es-ES"/>
        </w:rPr>
      </w:pPr>
      <w:r w:rsidRPr="00CB03C8">
        <w:rPr>
          <w:rFonts w:ascii="Times New Roman" w:hAnsi="Times New Roman"/>
          <w:b/>
          <w:sz w:val="24"/>
          <w:lang w:val="es-ES"/>
        </w:rPr>
        <w:t xml:space="preserve">¿Qué pasa con la Exención de Alimentos? </w:t>
      </w:r>
    </w:p>
    <w:p w:rsidR="002B6CB1" w:rsidRDefault="00297138" w:rsidP="007F1A8F">
      <w:pPr>
        <w:pStyle w:val="ListParagraph"/>
        <w:numPr>
          <w:ilvl w:val="0"/>
          <w:numId w:val="6"/>
        </w:numPr>
        <w:spacing w:after="120" w:line="240" w:lineRule="auto"/>
        <w:jc w:val="both"/>
        <w:rPr>
          <w:rFonts w:ascii="Times New Roman" w:hAnsi="Times New Roman"/>
          <w:sz w:val="24"/>
          <w:lang w:val="es-ES"/>
        </w:rPr>
      </w:pPr>
      <w:r w:rsidRPr="00BB6829">
        <w:rPr>
          <w:rFonts w:ascii="Times New Roman" w:hAnsi="Times New Roman"/>
          <w:sz w:val="24"/>
          <w:lang w:val="es-ES"/>
        </w:rPr>
        <w:t>Los alimentos e ingredientes de alimentos que actualmente están exentos del IVU, continuarán estando exentos del IVU al 1 de julio de 2015.  De igual manera, los comestibles y las bebidas que pagan IVU al 7% estarán sujetos a la tasa del 11.5%.</w:t>
      </w:r>
    </w:p>
    <w:p w:rsidR="00297138" w:rsidRPr="00890C53" w:rsidRDefault="00297138" w:rsidP="007F1A8F">
      <w:pPr>
        <w:pStyle w:val="ListParagraph"/>
        <w:numPr>
          <w:ilvl w:val="0"/>
          <w:numId w:val="7"/>
        </w:numPr>
        <w:spacing w:after="120" w:line="240" w:lineRule="auto"/>
        <w:jc w:val="both"/>
        <w:rPr>
          <w:rFonts w:ascii="Times New Roman" w:hAnsi="Times New Roman"/>
          <w:sz w:val="28"/>
          <w:lang w:val="es-ES"/>
        </w:rPr>
      </w:pPr>
      <w:r w:rsidRPr="002B6CB1">
        <w:rPr>
          <w:rFonts w:ascii="Times New Roman" w:hAnsi="Times New Roman"/>
          <w:b/>
          <w:sz w:val="24"/>
          <w:lang w:val="es-ES"/>
        </w:rPr>
        <w:t xml:space="preserve">¿Qué pasa con la Exención de los Servicios de Cuido? </w:t>
      </w:r>
    </w:p>
    <w:p w:rsidR="002B6CB1" w:rsidRDefault="00297138" w:rsidP="007F1A8F">
      <w:pPr>
        <w:pStyle w:val="ListParagraph"/>
        <w:numPr>
          <w:ilvl w:val="0"/>
          <w:numId w:val="6"/>
        </w:numPr>
        <w:spacing w:after="120" w:line="240" w:lineRule="auto"/>
        <w:jc w:val="both"/>
        <w:rPr>
          <w:rFonts w:ascii="Times New Roman" w:hAnsi="Times New Roman"/>
          <w:sz w:val="24"/>
          <w:lang w:val="es-ES"/>
        </w:rPr>
      </w:pPr>
      <w:r w:rsidRPr="002B6CB1">
        <w:rPr>
          <w:rFonts w:ascii="Times New Roman" w:hAnsi="Times New Roman"/>
          <w:sz w:val="24"/>
          <w:lang w:val="es-ES"/>
        </w:rPr>
        <w:t>Los servicios de cuidos prestados por los centros de cuidos de niños licenciados por el Departamento de la Familia, que consisten del costo de matrícula y mensualidades atribuibles al cuido permanecen exentos del IVU.</w:t>
      </w:r>
    </w:p>
    <w:p w:rsidR="002B6CB1" w:rsidRPr="00D96A9D" w:rsidRDefault="00297138" w:rsidP="007F1A8F">
      <w:pPr>
        <w:pStyle w:val="ListParagraph"/>
        <w:numPr>
          <w:ilvl w:val="0"/>
          <w:numId w:val="8"/>
        </w:numPr>
        <w:spacing w:after="120" w:line="240" w:lineRule="auto"/>
        <w:jc w:val="both"/>
        <w:rPr>
          <w:rFonts w:ascii="Times New Roman" w:hAnsi="Times New Roman"/>
          <w:sz w:val="28"/>
          <w:lang w:val="es-ES"/>
        </w:rPr>
      </w:pPr>
      <w:r w:rsidRPr="00D96A9D">
        <w:rPr>
          <w:rFonts w:ascii="Times New Roman" w:hAnsi="Times New Roman"/>
          <w:b/>
          <w:sz w:val="24"/>
          <w:lang w:val="es-ES"/>
        </w:rPr>
        <w:t>¿Estará sujeta al IVU la Renta Comercial y la Renta Residencial?</w:t>
      </w:r>
    </w:p>
    <w:p w:rsidR="00A273F1" w:rsidRPr="00067BC6" w:rsidRDefault="00A273F1" w:rsidP="007F1A8F">
      <w:pPr>
        <w:pStyle w:val="ListParagraph"/>
        <w:numPr>
          <w:ilvl w:val="0"/>
          <w:numId w:val="6"/>
        </w:numPr>
        <w:spacing w:after="120" w:line="240" w:lineRule="auto"/>
        <w:jc w:val="both"/>
        <w:rPr>
          <w:rFonts w:ascii="Times New Roman" w:hAnsi="Times New Roman"/>
          <w:sz w:val="32"/>
          <w:lang w:val="es-ES"/>
        </w:rPr>
      </w:pPr>
      <w:r w:rsidRPr="00D96A9D">
        <w:rPr>
          <w:rFonts w:ascii="Times New Roman" w:hAnsi="Times New Roman"/>
          <w:sz w:val="24"/>
          <w:lang w:val="es-ES"/>
        </w:rPr>
        <w:t xml:space="preserve">No. </w:t>
      </w:r>
      <w:r w:rsidR="00297138" w:rsidRPr="00D96A9D">
        <w:rPr>
          <w:rFonts w:ascii="Times New Roman" w:hAnsi="Times New Roman"/>
          <w:sz w:val="24"/>
          <w:lang w:val="es-ES"/>
        </w:rPr>
        <w:t>El canon por el pago de arrendamiento tanto para propósitos comerciales como residenciales permanece exento de IVU.</w:t>
      </w:r>
    </w:p>
    <w:p w:rsidR="00067BC6" w:rsidRPr="00D96A9D" w:rsidRDefault="00067BC6" w:rsidP="007F1A8F">
      <w:pPr>
        <w:pStyle w:val="ListParagraph"/>
        <w:numPr>
          <w:ilvl w:val="0"/>
          <w:numId w:val="19"/>
        </w:numPr>
        <w:spacing w:line="240" w:lineRule="auto"/>
        <w:rPr>
          <w:rFonts w:ascii="Times New Roman" w:hAnsi="Times New Roman"/>
          <w:sz w:val="24"/>
          <w:lang w:val="es-ES"/>
        </w:rPr>
      </w:pPr>
      <w:r w:rsidRPr="00D96A9D">
        <w:rPr>
          <w:rFonts w:ascii="Times New Roman" w:hAnsi="Times New Roman"/>
          <w:b/>
          <w:sz w:val="24"/>
          <w:lang w:val="es-ES"/>
        </w:rPr>
        <w:t xml:space="preserve">¿Serán exentos los servicios veterinarios? </w:t>
      </w:r>
    </w:p>
    <w:p w:rsidR="00067BC6" w:rsidRPr="00D96A9D" w:rsidRDefault="00067BC6" w:rsidP="007F1A8F">
      <w:pPr>
        <w:pStyle w:val="ListParagraph"/>
        <w:numPr>
          <w:ilvl w:val="0"/>
          <w:numId w:val="16"/>
        </w:numPr>
        <w:spacing w:line="240" w:lineRule="auto"/>
        <w:jc w:val="both"/>
        <w:rPr>
          <w:rFonts w:ascii="Times New Roman" w:hAnsi="Times New Roman"/>
          <w:sz w:val="24"/>
          <w:lang w:val="es-ES"/>
        </w:rPr>
      </w:pPr>
      <w:r w:rsidRPr="00D96A9D">
        <w:rPr>
          <w:rFonts w:ascii="Times New Roman" w:hAnsi="Times New Roman"/>
          <w:sz w:val="24"/>
          <w:lang w:val="es-ES"/>
        </w:rPr>
        <w:t>Si, los servicios de veterinario, incluyendo los servicios hospitalarios veterinarios, continuarán exentos de IVU.</w:t>
      </w:r>
    </w:p>
    <w:p w:rsidR="00067BC6" w:rsidRPr="00D96A9D" w:rsidRDefault="00067BC6" w:rsidP="007F1A8F">
      <w:pPr>
        <w:pStyle w:val="ListParagraph"/>
        <w:numPr>
          <w:ilvl w:val="0"/>
          <w:numId w:val="19"/>
        </w:numPr>
        <w:spacing w:line="240" w:lineRule="auto"/>
        <w:jc w:val="both"/>
        <w:rPr>
          <w:rFonts w:ascii="Times New Roman" w:hAnsi="Times New Roman"/>
          <w:sz w:val="24"/>
          <w:lang w:val="es-ES"/>
        </w:rPr>
      </w:pPr>
      <w:r w:rsidRPr="00D96A9D">
        <w:rPr>
          <w:rFonts w:ascii="Times New Roman" w:hAnsi="Times New Roman"/>
          <w:b/>
          <w:sz w:val="24"/>
          <w:lang w:val="es-ES"/>
        </w:rPr>
        <w:t>Soy un médico que trabaja por cuenta propia y le presta servicios a un hospital.  ¿Serán exentos los servicios médicos aun cuando se presten a hospitales?</w:t>
      </w:r>
    </w:p>
    <w:p w:rsidR="00067BC6" w:rsidRPr="00D96A9D" w:rsidRDefault="00067BC6" w:rsidP="007F1A8F">
      <w:pPr>
        <w:pStyle w:val="ListParagraph"/>
        <w:numPr>
          <w:ilvl w:val="0"/>
          <w:numId w:val="16"/>
        </w:numPr>
        <w:spacing w:line="240" w:lineRule="auto"/>
        <w:jc w:val="both"/>
        <w:rPr>
          <w:rFonts w:ascii="Times New Roman" w:hAnsi="Times New Roman"/>
          <w:b/>
          <w:sz w:val="24"/>
          <w:lang w:val="es-ES"/>
        </w:rPr>
      </w:pPr>
      <w:r w:rsidRPr="00D96A9D">
        <w:rPr>
          <w:rFonts w:ascii="Times New Roman" w:hAnsi="Times New Roman"/>
          <w:sz w:val="24"/>
          <w:lang w:val="es-ES"/>
        </w:rPr>
        <w:t>Sí.  Los servicios médicos están exentos de IVU, aun cuando los mismos sean prestados entre comerciantes.</w:t>
      </w:r>
    </w:p>
    <w:p w:rsidR="00067BC6" w:rsidRPr="00D96A9D" w:rsidRDefault="00067BC6" w:rsidP="007F1A8F">
      <w:pPr>
        <w:pStyle w:val="ListParagraph"/>
        <w:numPr>
          <w:ilvl w:val="0"/>
          <w:numId w:val="19"/>
        </w:numPr>
        <w:spacing w:line="240" w:lineRule="auto"/>
        <w:jc w:val="both"/>
        <w:rPr>
          <w:rFonts w:ascii="Times New Roman" w:hAnsi="Times New Roman"/>
          <w:b/>
          <w:sz w:val="24"/>
          <w:lang w:val="es-ES"/>
        </w:rPr>
      </w:pPr>
      <w:r w:rsidRPr="00D96A9D">
        <w:rPr>
          <w:rFonts w:ascii="Times New Roman" w:hAnsi="Times New Roman"/>
          <w:b/>
          <w:sz w:val="24"/>
          <w:lang w:val="es-ES"/>
        </w:rPr>
        <w:t xml:space="preserve">¿Serán exentos los medicamentos recetados para las mascotas? </w:t>
      </w:r>
    </w:p>
    <w:p w:rsidR="00067BC6" w:rsidRPr="00067BC6" w:rsidRDefault="00067BC6" w:rsidP="007F1A8F">
      <w:pPr>
        <w:pStyle w:val="ListParagraph"/>
        <w:numPr>
          <w:ilvl w:val="0"/>
          <w:numId w:val="16"/>
        </w:numPr>
        <w:spacing w:line="240" w:lineRule="auto"/>
        <w:jc w:val="both"/>
        <w:rPr>
          <w:rFonts w:ascii="Times New Roman" w:hAnsi="Times New Roman"/>
          <w:sz w:val="24"/>
          <w:lang w:val="es-ES"/>
        </w:rPr>
      </w:pPr>
      <w:r w:rsidRPr="00D96A9D">
        <w:rPr>
          <w:rFonts w:ascii="Times New Roman" w:hAnsi="Times New Roman"/>
          <w:sz w:val="24"/>
          <w:lang w:val="es-ES"/>
        </w:rPr>
        <w:t>No, las medicinas recetadas a mascotas no están incluidas entre los medicamentos exentos del impuesto al consumo, por lo que se consideran partidas tributables.</w:t>
      </w:r>
    </w:p>
    <w:p w:rsidR="00012F89" w:rsidRPr="00D96A9D" w:rsidRDefault="00012F89" w:rsidP="007F1A8F">
      <w:pPr>
        <w:pStyle w:val="ListParagraph"/>
        <w:numPr>
          <w:ilvl w:val="0"/>
          <w:numId w:val="17"/>
        </w:numPr>
        <w:spacing w:after="0" w:line="240" w:lineRule="auto"/>
        <w:jc w:val="both"/>
        <w:rPr>
          <w:rFonts w:ascii="Arial" w:hAnsi="Arial" w:cs="Arial"/>
          <w:lang w:val="es-ES"/>
        </w:rPr>
      </w:pPr>
      <w:r w:rsidRPr="00D96A9D">
        <w:rPr>
          <w:rFonts w:ascii="Times New Roman" w:hAnsi="Times New Roman"/>
          <w:b/>
          <w:color w:val="000000"/>
          <w:sz w:val="24"/>
          <w:lang w:val="es-ES"/>
        </w:rPr>
        <w:t xml:space="preserve">¿Se elimina la exención del </w:t>
      </w:r>
      <w:r w:rsidRPr="00D96A9D">
        <w:rPr>
          <w:rFonts w:ascii="Times New Roman" w:hAnsi="Times New Roman"/>
          <w:b/>
          <w:color w:val="000000"/>
          <w:sz w:val="24"/>
          <w:lang w:val="es-PR"/>
        </w:rPr>
        <w:t>periodo libre de IVU por regreso a la escuela (“Back-to-School”) aplicable al mes de julio de 2015?</w:t>
      </w:r>
    </w:p>
    <w:p w:rsidR="00012F89" w:rsidRPr="00012F89" w:rsidRDefault="00012F89" w:rsidP="007F1A8F">
      <w:pPr>
        <w:pStyle w:val="ListParagraph"/>
        <w:numPr>
          <w:ilvl w:val="0"/>
          <w:numId w:val="16"/>
        </w:numPr>
        <w:spacing w:after="0" w:line="240" w:lineRule="auto"/>
        <w:jc w:val="both"/>
        <w:rPr>
          <w:rFonts w:ascii="Arial" w:hAnsi="Arial" w:cs="Arial"/>
          <w:lang w:val="es-ES"/>
        </w:rPr>
      </w:pPr>
      <w:r w:rsidRPr="001C6FB1">
        <w:rPr>
          <w:rFonts w:ascii="Times New Roman" w:hAnsi="Times New Roman"/>
          <w:color w:val="000000"/>
          <w:sz w:val="24"/>
          <w:lang w:val="es-ES"/>
        </w:rPr>
        <w:t>No. La exención del periodo libre de IVU por regreso a la escuela (“Back-</w:t>
      </w:r>
      <w:proofErr w:type="spellStart"/>
      <w:r w:rsidRPr="001C6FB1">
        <w:rPr>
          <w:rFonts w:ascii="Times New Roman" w:hAnsi="Times New Roman"/>
          <w:color w:val="000000"/>
          <w:sz w:val="24"/>
          <w:lang w:val="es-ES"/>
        </w:rPr>
        <w:t>to</w:t>
      </w:r>
      <w:proofErr w:type="spellEnd"/>
      <w:r w:rsidRPr="001C6FB1">
        <w:rPr>
          <w:rFonts w:ascii="Times New Roman" w:hAnsi="Times New Roman"/>
          <w:color w:val="000000"/>
          <w:sz w:val="24"/>
          <w:lang w:val="es-ES"/>
        </w:rPr>
        <w:t>-</w:t>
      </w:r>
      <w:proofErr w:type="spellStart"/>
      <w:r w:rsidRPr="001C6FB1">
        <w:rPr>
          <w:rFonts w:ascii="Times New Roman" w:hAnsi="Times New Roman"/>
          <w:color w:val="000000"/>
          <w:sz w:val="24"/>
          <w:lang w:val="es-ES"/>
        </w:rPr>
        <w:t>School</w:t>
      </w:r>
      <w:proofErr w:type="spellEnd"/>
      <w:r w:rsidRPr="001C6FB1">
        <w:rPr>
          <w:rFonts w:ascii="Times New Roman" w:hAnsi="Times New Roman"/>
          <w:color w:val="000000"/>
          <w:sz w:val="24"/>
          <w:lang w:val="es-ES"/>
        </w:rPr>
        <w:t>”)</w:t>
      </w:r>
      <w:r>
        <w:rPr>
          <w:rFonts w:ascii="Times New Roman" w:hAnsi="Times New Roman"/>
          <w:color w:val="000000"/>
          <w:sz w:val="24"/>
          <w:lang w:val="es-ES"/>
        </w:rPr>
        <w:t xml:space="preserve"> estará vigente para los días 17</w:t>
      </w:r>
      <w:r w:rsidRPr="001C6FB1">
        <w:rPr>
          <w:rFonts w:ascii="Times New Roman" w:hAnsi="Times New Roman"/>
          <w:color w:val="000000"/>
          <w:sz w:val="24"/>
          <w:lang w:val="es-ES"/>
        </w:rPr>
        <w:t xml:space="preserve"> y</w:t>
      </w:r>
      <w:r>
        <w:rPr>
          <w:rFonts w:ascii="Times New Roman" w:hAnsi="Times New Roman"/>
          <w:color w:val="000000"/>
          <w:sz w:val="24"/>
          <w:lang w:val="es-ES"/>
        </w:rPr>
        <w:t xml:space="preserve"> 18</w:t>
      </w:r>
      <w:r w:rsidRPr="001C6FB1">
        <w:rPr>
          <w:rFonts w:ascii="Times New Roman" w:hAnsi="Times New Roman"/>
          <w:color w:val="000000"/>
          <w:sz w:val="24"/>
          <w:lang w:val="es-ES"/>
        </w:rPr>
        <w:t xml:space="preserve"> de julio de 2015, de acuerdo con la Carta Circular de Política Contributiva Núm. 15-07 emitida por </w:t>
      </w:r>
      <w:r>
        <w:rPr>
          <w:rFonts w:ascii="Times New Roman" w:hAnsi="Times New Roman"/>
          <w:color w:val="000000"/>
          <w:sz w:val="24"/>
          <w:lang w:val="es-ES"/>
        </w:rPr>
        <w:t>el Departamento de Hacienda el 1</w:t>
      </w:r>
      <w:r w:rsidRPr="001C6FB1">
        <w:rPr>
          <w:rFonts w:ascii="Times New Roman" w:hAnsi="Times New Roman"/>
          <w:color w:val="000000"/>
          <w:sz w:val="24"/>
          <w:lang w:val="es-ES"/>
        </w:rPr>
        <w:t xml:space="preserve"> de junio de 2015.</w:t>
      </w:r>
    </w:p>
    <w:p w:rsidR="00012F89" w:rsidRPr="007A75F1" w:rsidRDefault="007A75F1" w:rsidP="00012F89">
      <w:pPr>
        <w:spacing w:after="0" w:line="240" w:lineRule="auto"/>
        <w:jc w:val="both"/>
        <w:rPr>
          <w:rFonts w:ascii="Times New Roman" w:hAnsi="Times New Roman"/>
          <w:b/>
          <w:i/>
          <w:sz w:val="24"/>
          <w:u w:val="single"/>
          <w:lang w:val="es-ES"/>
        </w:rPr>
      </w:pPr>
      <w:r w:rsidRPr="007A75F1">
        <w:rPr>
          <w:rFonts w:ascii="Times New Roman" w:hAnsi="Times New Roman"/>
          <w:b/>
          <w:i/>
          <w:sz w:val="24"/>
          <w:u w:val="single"/>
          <w:lang w:val="es-ES"/>
        </w:rPr>
        <w:t>PICO</w:t>
      </w:r>
    </w:p>
    <w:p w:rsidR="00A273F1" w:rsidRPr="00A273F1" w:rsidRDefault="00297138" w:rsidP="007F1A8F">
      <w:pPr>
        <w:pStyle w:val="ListParagraph"/>
        <w:numPr>
          <w:ilvl w:val="0"/>
          <w:numId w:val="8"/>
        </w:numPr>
        <w:spacing w:after="120" w:line="240" w:lineRule="auto"/>
        <w:jc w:val="both"/>
        <w:rPr>
          <w:rFonts w:ascii="Times New Roman" w:hAnsi="Times New Roman"/>
          <w:sz w:val="32"/>
          <w:lang w:val="es-ES"/>
        </w:rPr>
      </w:pPr>
      <w:r w:rsidRPr="007A75F1">
        <w:rPr>
          <w:rFonts w:ascii="Times New Roman" w:hAnsi="Times New Roman"/>
          <w:b/>
          <w:sz w:val="24"/>
          <w:lang w:val="es-ES"/>
        </w:rPr>
        <w:t>¿Debo</w:t>
      </w:r>
      <w:r w:rsidRPr="00A273F1">
        <w:rPr>
          <w:rFonts w:ascii="Times New Roman" w:hAnsi="Times New Roman"/>
          <w:b/>
          <w:sz w:val="24"/>
          <w:lang w:val="es-ES"/>
        </w:rPr>
        <w:t xml:space="preserve"> hacer algún tipo de registro en el Portal Integrado del Comerciante o en el Departamento de Hacienda para la aplicación de la nueva tasa?</w:t>
      </w:r>
    </w:p>
    <w:p w:rsidR="00D96A9D" w:rsidRPr="00D96A9D" w:rsidRDefault="00A273F1" w:rsidP="007F1A8F">
      <w:pPr>
        <w:pStyle w:val="ListParagraph"/>
        <w:numPr>
          <w:ilvl w:val="0"/>
          <w:numId w:val="9"/>
        </w:numPr>
        <w:spacing w:after="120" w:line="240" w:lineRule="auto"/>
        <w:jc w:val="both"/>
        <w:rPr>
          <w:rFonts w:ascii="Times New Roman" w:hAnsi="Times New Roman"/>
          <w:sz w:val="32"/>
          <w:lang w:val="es-ES"/>
        </w:rPr>
      </w:pPr>
      <w:r w:rsidRPr="00D96A9D">
        <w:rPr>
          <w:rFonts w:ascii="Times New Roman" w:hAnsi="Times New Roman"/>
          <w:sz w:val="24"/>
          <w:lang w:val="es-ES"/>
        </w:rPr>
        <w:t xml:space="preserve">No. </w:t>
      </w:r>
      <w:r w:rsidR="00297138" w:rsidRPr="00D96A9D">
        <w:rPr>
          <w:rFonts w:ascii="Times New Roman" w:hAnsi="Times New Roman"/>
          <w:sz w:val="24"/>
          <w:lang w:val="es-ES"/>
        </w:rPr>
        <w:t xml:space="preserve">La aplicación de la nueva tasa para la Planilla Mensual del IVU es automática.  Cuando el comerciante vaya a radicar su planilla correspondiente al </w:t>
      </w:r>
      <w:r w:rsidR="00297138" w:rsidRPr="00D96A9D">
        <w:rPr>
          <w:rFonts w:ascii="Times New Roman" w:hAnsi="Times New Roman"/>
          <w:sz w:val="24"/>
          <w:lang w:val="es-ES"/>
        </w:rPr>
        <w:lastRenderedPageBreak/>
        <w:t>mes de julio de 2015 la Planilla Mensual del IVU reflejará la tasa contributiva estatal del IVU al 10.5%.</w:t>
      </w:r>
    </w:p>
    <w:p w:rsidR="007A75F1" w:rsidRPr="00D96A9D" w:rsidRDefault="007A75F1" w:rsidP="007F1A8F">
      <w:pPr>
        <w:pStyle w:val="ListParagraph"/>
        <w:numPr>
          <w:ilvl w:val="0"/>
          <w:numId w:val="15"/>
        </w:numPr>
        <w:spacing w:after="120" w:line="240" w:lineRule="auto"/>
        <w:rPr>
          <w:rFonts w:ascii="Times New Roman" w:hAnsi="Times New Roman"/>
          <w:sz w:val="24"/>
          <w:lang w:val="es-ES"/>
        </w:rPr>
      </w:pPr>
      <w:r w:rsidRPr="00D96A9D">
        <w:rPr>
          <w:rFonts w:ascii="Times New Roman" w:hAnsi="Times New Roman"/>
          <w:b/>
          <w:sz w:val="24"/>
          <w:lang w:val="es-ES"/>
        </w:rPr>
        <w:t xml:space="preserve">¿Se podrá radicar electrónicamente la Planilla Mensual de Impuesto sobre Ventas y Uso – Modelo SC 2915 para el periodo de julio 2015 y meses posteriores? </w:t>
      </w:r>
    </w:p>
    <w:p w:rsidR="007A75F1" w:rsidRDefault="007A75F1" w:rsidP="007F1A8F">
      <w:pPr>
        <w:pStyle w:val="ListParagraph"/>
        <w:numPr>
          <w:ilvl w:val="0"/>
          <w:numId w:val="9"/>
        </w:numPr>
        <w:spacing w:after="120" w:line="240" w:lineRule="auto"/>
        <w:rPr>
          <w:rFonts w:ascii="Times New Roman" w:hAnsi="Times New Roman"/>
          <w:sz w:val="24"/>
          <w:lang w:val="es-ES"/>
        </w:rPr>
      </w:pPr>
      <w:r w:rsidRPr="004C3084">
        <w:rPr>
          <w:rFonts w:ascii="Times New Roman" w:hAnsi="Times New Roman"/>
          <w:sz w:val="24"/>
          <w:lang w:val="es-ES"/>
        </w:rPr>
        <w:t xml:space="preserve">Si, la planilla correspondiente al mes de julio de 2015 y meses posteriores, se podrá radicar electrónicamente desde el 1 de agosto de 2015, a través del Portal Integrado del Comerciante (“PICO”). </w:t>
      </w:r>
    </w:p>
    <w:p w:rsidR="007A75F1" w:rsidRPr="00D96A9D" w:rsidRDefault="007A75F1" w:rsidP="007F1A8F">
      <w:pPr>
        <w:pStyle w:val="ListParagraph"/>
        <w:numPr>
          <w:ilvl w:val="0"/>
          <w:numId w:val="12"/>
        </w:numPr>
        <w:spacing w:after="120" w:line="240" w:lineRule="auto"/>
        <w:jc w:val="both"/>
        <w:rPr>
          <w:rFonts w:ascii="Times New Roman" w:hAnsi="Times New Roman"/>
          <w:sz w:val="36"/>
          <w:lang w:val="es-ES"/>
        </w:rPr>
      </w:pPr>
      <w:r w:rsidRPr="00D96A9D">
        <w:rPr>
          <w:rFonts w:ascii="Times New Roman" w:hAnsi="Times New Roman"/>
          <w:b/>
          <w:sz w:val="24"/>
          <w:lang w:val="es-ES"/>
        </w:rPr>
        <w:t>¿Cómo registra el comerciante la devolución del IVU del 6% en la Planilla mensual del mes de julio de 2015 y meses subsiguientes?</w:t>
      </w:r>
    </w:p>
    <w:p w:rsidR="007A75F1" w:rsidRPr="00D96A9D" w:rsidRDefault="007A75F1" w:rsidP="007F1A8F">
      <w:pPr>
        <w:pStyle w:val="ListParagraph"/>
        <w:numPr>
          <w:ilvl w:val="0"/>
          <w:numId w:val="9"/>
        </w:numPr>
        <w:spacing w:after="120" w:line="240" w:lineRule="auto"/>
        <w:jc w:val="both"/>
        <w:rPr>
          <w:rFonts w:ascii="Times New Roman" w:hAnsi="Times New Roman"/>
          <w:sz w:val="36"/>
          <w:lang w:val="es-ES"/>
        </w:rPr>
      </w:pPr>
      <w:r w:rsidRPr="00D96A9D">
        <w:rPr>
          <w:rFonts w:ascii="Times New Roman" w:hAnsi="Times New Roman"/>
          <w:sz w:val="24"/>
          <w:lang w:val="es-ES"/>
        </w:rPr>
        <w:t xml:space="preserve">El comerciante deberá incluir las devoluciones del IVU al 6% en su planilla de junio de 2015.  Si el comerciante recibe la devolución luego de haber radicado la Planilla Mensual del IVU del mes de junio de 2015, entonces el comerciante deberá enmendar dicha planilla para considerar el IVU devuelto.  El comerciante debe enmendar las veces que sean necesarias la Planilla Mensual del IVU.  Favor referirse a la Carta Circular de Política Contributiva </w:t>
      </w:r>
      <w:r w:rsidRPr="00D96A9D">
        <w:rPr>
          <w:rFonts w:ascii="Times New Roman" w:hAnsi="Times New Roman"/>
          <w:sz w:val="24"/>
          <w:highlight w:val="yellow"/>
          <w:lang w:val="es-ES"/>
        </w:rPr>
        <w:t>15-__</w:t>
      </w:r>
      <w:r w:rsidRPr="00D96A9D">
        <w:rPr>
          <w:rFonts w:ascii="Times New Roman" w:hAnsi="Times New Roman"/>
          <w:sz w:val="24"/>
          <w:lang w:val="es-ES"/>
        </w:rPr>
        <w:t xml:space="preserve"> emitida el __ de junio de 2015.</w:t>
      </w:r>
    </w:p>
    <w:p w:rsidR="007A75F1" w:rsidRPr="00D96A9D" w:rsidRDefault="007A75F1" w:rsidP="007F1A8F">
      <w:pPr>
        <w:pStyle w:val="ListParagraph"/>
        <w:numPr>
          <w:ilvl w:val="0"/>
          <w:numId w:val="15"/>
        </w:numPr>
        <w:spacing w:after="120" w:line="240" w:lineRule="auto"/>
        <w:rPr>
          <w:rFonts w:ascii="Times New Roman" w:hAnsi="Times New Roman"/>
          <w:sz w:val="24"/>
          <w:lang w:val="es-ES"/>
        </w:rPr>
      </w:pPr>
      <w:r w:rsidRPr="00D96A9D">
        <w:rPr>
          <w:rFonts w:ascii="Times New Roman" w:hAnsi="Times New Roman"/>
          <w:b/>
          <w:sz w:val="24"/>
          <w:lang w:val="es-ES"/>
        </w:rPr>
        <w:t>En el caso de Importadores Afianzados, ¿es compulsorio aumentar la fianza para contemplar el aumento del IVU de 6% a 10.5% en las importaciones que se efectúen a partir del 1 de julio de 2015?</w:t>
      </w:r>
    </w:p>
    <w:p w:rsidR="007A75F1" w:rsidRDefault="007A75F1" w:rsidP="007F1A8F">
      <w:pPr>
        <w:pStyle w:val="ListParagraph"/>
        <w:numPr>
          <w:ilvl w:val="0"/>
          <w:numId w:val="9"/>
        </w:numPr>
        <w:spacing w:after="120" w:line="240" w:lineRule="auto"/>
        <w:rPr>
          <w:rFonts w:ascii="Times New Roman" w:hAnsi="Times New Roman"/>
          <w:sz w:val="24"/>
          <w:lang w:val="es-ES"/>
        </w:rPr>
      </w:pPr>
      <w:r w:rsidRPr="004C3084">
        <w:rPr>
          <w:rFonts w:ascii="Times New Roman" w:hAnsi="Times New Roman"/>
          <w:sz w:val="24"/>
          <w:lang w:val="es-ES"/>
        </w:rPr>
        <w:t xml:space="preserve">No, el procedimiento de aumento de fianza es </w:t>
      </w:r>
      <w:r w:rsidRPr="004C3084">
        <w:rPr>
          <w:rFonts w:ascii="Times New Roman" w:hAnsi="Times New Roman"/>
          <w:i/>
          <w:sz w:val="24"/>
          <w:lang w:val="es-ES"/>
        </w:rPr>
        <w:t>voluntario</w:t>
      </w:r>
      <w:r w:rsidRPr="004C3084">
        <w:rPr>
          <w:rFonts w:ascii="Times New Roman" w:hAnsi="Times New Roman"/>
          <w:sz w:val="24"/>
          <w:lang w:val="es-ES"/>
        </w:rPr>
        <w:t xml:space="preserve">.  No obstante, aquel Importador Afianzado cuya fianza no cubra sus importaciones estará obligado a desembolsar el pago del IVU sobre toda la propiedad mueble tangible declarada, </w:t>
      </w:r>
      <w:r>
        <w:rPr>
          <w:rFonts w:ascii="Times New Roman" w:hAnsi="Times New Roman"/>
          <w:sz w:val="24"/>
          <w:lang w:val="es-ES"/>
        </w:rPr>
        <w:t>previo a obtener el levante de l</w:t>
      </w:r>
      <w:r w:rsidRPr="004C3084">
        <w:rPr>
          <w:rFonts w:ascii="Times New Roman" w:hAnsi="Times New Roman"/>
          <w:sz w:val="24"/>
          <w:lang w:val="es-ES"/>
        </w:rPr>
        <w:t>a mercancía importada.</w:t>
      </w:r>
    </w:p>
    <w:p w:rsidR="007A75F1" w:rsidRPr="00D96A9D" w:rsidRDefault="007A75F1" w:rsidP="007F1A8F">
      <w:pPr>
        <w:pStyle w:val="ListParagraph"/>
        <w:numPr>
          <w:ilvl w:val="0"/>
          <w:numId w:val="15"/>
        </w:numPr>
        <w:spacing w:after="120" w:line="240" w:lineRule="auto"/>
        <w:rPr>
          <w:rFonts w:ascii="Times New Roman" w:hAnsi="Times New Roman"/>
          <w:sz w:val="24"/>
          <w:lang w:val="es-ES"/>
        </w:rPr>
      </w:pPr>
      <w:r w:rsidRPr="00D96A9D">
        <w:rPr>
          <w:rFonts w:ascii="Times New Roman" w:hAnsi="Times New Roman"/>
          <w:b/>
          <w:sz w:val="24"/>
          <w:lang w:val="es-ES"/>
        </w:rPr>
        <w:t xml:space="preserve">¿Cuál será el procedimiento para solicitar el aumento de fianza para las importaciones realizadas a partir del 1 de julio de 2015? </w:t>
      </w:r>
    </w:p>
    <w:p w:rsidR="007A75F1" w:rsidRPr="00D96A9D" w:rsidRDefault="007A75F1" w:rsidP="007F1A8F">
      <w:pPr>
        <w:pStyle w:val="ListParagraph"/>
        <w:numPr>
          <w:ilvl w:val="0"/>
          <w:numId w:val="9"/>
        </w:numPr>
        <w:spacing w:after="0" w:line="240" w:lineRule="auto"/>
        <w:jc w:val="both"/>
        <w:rPr>
          <w:rFonts w:ascii="Times New Roman" w:hAnsi="Times New Roman"/>
          <w:sz w:val="24"/>
          <w:lang w:val="es-ES"/>
        </w:rPr>
      </w:pPr>
      <w:r w:rsidRPr="00D96A9D">
        <w:rPr>
          <w:rFonts w:ascii="Times New Roman" w:hAnsi="Times New Roman"/>
          <w:sz w:val="24"/>
          <w:lang w:val="es-ES"/>
        </w:rPr>
        <w:t xml:space="preserve">Todo Importador Afianzado que desee aumentar su fianza, deberá someter una carta dirigida al Director del Negociado de Impuesto al Consumo solicitando el aumento.  En la misma se deberá indicar la naturaleza del negocio y el nuevo monto de la fianza que desea establecer, la cual no podrá ser menor de diez mil dólares ($10,000). </w:t>
      </w:r>
    </w:p>
    <w:p w:rsidR="007A75F1" w:rsidRPr="0079573A" w:rsidRDefault="007A75F1" w:rsidP="007F1A8F">
      <w:pPr>
        <w:pStyle w:val="ListParagraph"/>
        <w:numPr>
          <w:ilvl w:val="0"/>
          <w:numId w:val="9"/>
        </w:numPr>
        <w:spacing w:after="0" w:line="240" w:lineRule="auto"/>
        <w:jc w:val="both"/>
        <w:rPr>
          <w:rFonts w:ascii="Times New Roman" w:hAnsi="Times New Roman"/>
          <w:sz w:val="24"/>
          <w:lang w:val="es-ES"/>
        </w:rPr>
      </w:pPr>
      <w:r w:rsidRPr="004C3084">
        <w:rPr>
          <w:rFonts w:ascii="Times New Roman" w:hAnsi="Times New Roman"/>
          <w:sz w:val="24"/>
          <w:lang w:val="es-ES"/>
        </w:rPr>
        <w:t>La carta de solicitud de aumento de fianza deberá enviarse a la siguiente dirección:</w:t>
      </w:r>
    </w:p>
    <w:p w:rsidR="007A75F1" w:rsidRPr="004C3084" w:rsidRDefault="007A75F1" w:rsidP="007A75F1">
      <w:pPr>
        <w:spacing w:after="0"/>
        <w:jc w:val="center"/>
        <w:rPr>
          <w:rFonts w:ascii="Times New Roman" w:hAnsi="Times New Roman"/>
          <w:sz w:val="24"/>
          <w:lang w:val="es-ES"/>
        </w:rPr>
      </w:pPr>
      <w:r w:rsidRPr="004C3084">
        <w:rPr>
          <w:rFonts w:ascii="Times New Roman" w:hAnsi="Times New Roman"/>
          <w:sz w:val="24"/>
          <w:lang w:val="es-ES"/>
        </w:rPr>
        <w:t>Negociado de Impuesto al Consumo</w:t>
      </w:r>
    </w:p>
    <w:p w:rsidR="007A75F1" w:rsidRPr="004C3084" w:rsidRDefault="007A75F1" w:rsidP="007A75F1">
      <w:pPr>
        <w:spacing w:after="0"/>
        <w:jc w:val="center"/>
        <w:rPr>
          <w:rFonts w:ascii="Times New Roman" w:hAnsi="Times New Roman"/>
          <w:sz w:val="24"/>
          <w:lang w:val="es-ES"/>
        </w:rPr>
      </w:pPr>
      <w:r w:rsidRPr="004C3084">
        <w:rPr>
          <w:rFonts w:ascii="Times New Roman" w:hAnsi="Times New Roman"/>
          <w:sz w:val="24"/>
          <w:lang w:val="es-ES"/>
        </w:rPr>
        <w:t>Departamento de Hacienda</w:t>
      </w:r>
    </w:p>
    <w:p w:rsidR="007A75F1" w:rsidRPr="004C3084" w:rsidRDefault="007A75F1" w:rsidP="007A75F1">
      <w:pPr>
        <w:spacing w:after="0"/>
        <w:jc w:val="center"/>
        <w:rPr>
          <w:rFonts w:ascii="Times New Roman" w:hAnsi="Times New Roman"/>
          <w:sz w:val="24"/>
          <w:lang w:val="es-ES"/>
        </w:rPr>
      </w:pPr>
      <w:r w:rsidRPr="004C3084">
        <w:rPr>
          <w:rFonts w:ascii="Times New Roman" w:hAnsi="Times New Roman"/>
          <w:sz w:val="24"/>
          <w:lang w:val="es-ES"/>
        </w:rPr>
        <w:t>Edificio Mercantil Plaza</w:t>
      </w:r>
    </w:p>
    <w:p w:rsidR="007A75F1" w:rsidRPr="004C3084" w:rsidRDefault="007A75F1" w:rsidP="007A75F1">
      <w:pPr>
        <w:spacing w:after="0"/>
        <w:jc w:val="center"/>
        <w:rPr>
          <w:rFonts w:ascii="Times New Roman" w:hAnsi="Times New Roman"/>
          <w:sz w:val="24"/>
          <w:lang w:val="es-ES"/>
        </w:rPr>
      </w:pPr>
      <w:r w:rsidRPr="004C3084">
        <w:rPr>
          <w:rFonts w:ascii="Times New Roman" w:hAnsi="Times New Roman"/>
          <w:sz w:val="24"/>
          <w:lang w:val="es-ES"/>
        </w:rPr>
        <w:t>Avenida Ponce de León</w:t>
      </w:r>
    </w:p>
    <w:p w:rsidR="007A75F1" w:rsidRPr="004C3084" w:rsidRDefault="007A75F1" w:rsidP="007A75F1">
      <w:pPr>
        <w:spacing w:after="0"/>
        <w:jc w:val="center"/>
        <w:rPr>
          <w:rFonts w:ascii="Times New Roman" w:hAnsi="Times New Roman"/>
          <w:sz w:val="24"/>
          <w:lang w:val="es-ES"/>
        </w:rPr>
      </w:pPr>
      <w:r w:rsidRPr="004C3084">
        <w:rPr>
          <w:rFonts w:ascii="Times New Roman" w:hAnsi="Times New Roman"/>
          <w:sz w:val="24"/>
          <w:lang w:val="es-ES"/>
        </w:rPr>
        <w:t>Parada 27 1/2</w:t>
      </w:r>
    </w:p>
    <w:p w:rsidR="007A75F1" w:rsidRPr="004C3084" w:rsidRDefault="007A75F1" w:rsidP="007A75F1">
      <w:pPr>
        <w:spacing w:after="0"/>
        <w:jc w:val="center"/>
        <w:rPr>
          <w:rFonts w:ascii="Times New Roman" w:hAnsi="Times New Roman"/>
          <w:sz w:val="24"/>
          <w:lang w:val="es-ES"/>
        </w:rPr>
      </w:pPr>
      <w:r w:rsidRPr="004C3084">
        <w:rPr>
          <w:rFonts w:ascii="Times New Roman" w:hAnsi="Times New Roman"/>
          <w:sz w:val="24"/>
          <w:lang w:val="es-ES"/>
        </w:rPr>
        <w:t>San Juan, Puerto Rico 00918</w:t>
      </w:r>
    </w:p>
    <w:p w:rsidR="007A75F1" w:rsidRPr="00D96A9D" w:rsidRDefault="007A75F1" w:rsidP="007F1A8F">
      <w:pPr>
        <w:pStyle w:val="ListParagraph"/>
        <w:numPr>
          <w:ilvl w:val="0"/>
          <w:numId w:val="15"/>
        </w:numPr>
        <w:spacing w:after="0" w:line="240" w:lineRule="auto"/>
        <w:jc w:val="both"/>
        <w:rPr>
          <w:rFonts w:ascii="Arial" w:hAnsi="Arial" w:cs="Arial"/>
          <w:lang w:val="es-ES"/>
        </w:rPr>
      </w:pPr>
      <w:r w:rsidRPr="00D96A9D">
        <w:rPr>
          <w:rFonts w:ascii="Times New Roman" w:hAnsi="Times New Roman"/>
          <w:b/>
          <w:sz w:val="24"/>
          <w:lang w:val="es-ES"/>
        </w:rPr>
        <w:t xml:space="preserve">¿Cómo determino la cantidad de fianza que me corresponde? </w:t>
      </w:r>
    </w:p>
    <w:p w:rsidR="007A75F1" w:rsidRPr="00D96A9D" w:rsidRDefault="007A75F1" w:rsidP="007F1A8F">
      <w:pPr>
        <w:pStyle w:val="ListParagraph"/>
        <w:numPr>
          <w:ilvl w:val="0"/>
          <w:numId w:val="16"/>
        </w:numPr>
        <w:spacing w:after="0" w:line="240" w:lineRule="auto"/>
        <w:jc w:val="both"/>
        <w:rPr>
          <w:rFonts w:ascii="Arial" w:hAnsi="Arial" w:cs="Arial"/>
          <w:lang w:val="es-ES"/>
        </w:rPr>
      </w:pPr>
      <w:r w:rsidRPr="00D96A9D">
        <w:rPr>
          <w:rFonts w:ascii="Times New Roman" w:hAnsi="Times New Roman"/>
          <w:sz w:val="24"/>
          <w:lang w:val="es-ES"/>
        </w:rPr>
        <w:lastRenderedPageBreak/>
        <w:t>El Importador Afianzado debe asegurarse que la fianza prestada incluya una cantidad para garantizar el pago del impuesto más el equivalente al veinticinco por ciento (25%) de dicha cantidad, para garantizar el pago de cualquier recargo, interés o multa administrativa que se imponga por no pagar el Impuesto en el término establecido para ello.  No obstante, el monto de la fianza nunca será menor de diez mil dólares ($10,000).</w:t>
      </w:r>
    </w:p>
    <w:p w:rsidR="007A75F1" w:rsidRPr="007A75F1" w:rsidRDefault="007A75F1" w:rsidP="007A75F1">
      <w:pPr>
        <w:spacing w:after="120" w:line="240" w:lineRule="auto"/>
        <w:jc w:val="both"/>
        <w:rPr>
          <w:rFonts w:ascii="Times New Roman" w:hAnsi="Times New Roman"/>
          <w:b/>
          <w:i/>
          <w:sz w:val="24"/>
          <w:u w:val="single"/>
          <w:lang w:val="es-ES"/>
        </w:rPr>
      </w:pPr>
      <w:r w:rsidRPr="007A75F1">
        <w:rPr>
          <w:rFonts w:ascii="Times New Roman" w:hAnsi="Times New Roman"/>
          <w:b/>
          <w:i/>
          <w:sz w:val="24"/>
          <w:u w:val="single"/>
          <w:lang w:val="es-ES"/>
        </w:rPr>
        <w:t>Ejemplo de Situaciones</w:t>
      </w:r>
    </w:p>
    <w:p w:rsidR="007A75F1" w:rsidRPr="00D96A9D" w:rsidRDefault="007A75F1" w:rsidP="007F1A8F">
      <w:pPr>
        <w:pStyle w:val="ListParagraph"/>
        <w:numPr>
          <w:ilvl w:val="0"/>
          <w:numId w:val="11"/>
        </w:numPr>
        <w:spacing w:after="120" w:line="240" w:lineRule="auto"/>
        <w:jc w:val="both"/>
        <w:rPr>
          <w:rFonts w:ascii="Times New Roman" w:hAnsi="Times New Roman"/>
          <w:sz w:val="36"/>
          <w:lang w:val="es-ES"/>
        </w:rPr>
      </w:pPr>
      <w:r w:rsidRPr="00D96A9D">
        <w:rPr>
          <w:rFonts w:ascii="Times New Roman" w:hAnsi="Times New Roman"/>
          <w:b/>
          <w:sz w:val="24"/>
          <w:lang w:val="es-ES"/>
        </w:rPr>
        <w:t>¿Qué pasa luego del 30 de junio de 2015 con las devoluciones de mercancía que compré pagando el 7%?</w:t>
      </w:r>
    </w:p>
    <w:p w:rsidR="007A75F1" w:rsidRPr="007A75F1" w:rsidRDefault="007A75F1" w:rsidP="007F1A8F">
      <w:pPr>
        <w:pStyle w:val="ListParagraph"/>
        <w:numPr>
          <w:ilvl w:val="0"/>
          <w:numId w:val="9"/>
        </w:numPr>
        <w:spacing w:after="120" w:line="240" w:lineRule="auto"/>
        <w:jc w:val="both"/>
        <w:rPr>
          <w:rFonts w:ascii="Times New Roman" w:hAnsi="Times New Roman"/>
          <w:sz w:val="36"/>
          <w:lang w:val="es-ES"/>
        </w:rPr>
      </w:pPr>
      <w:r w:rsidRPr="00D96A9D">
        <w:rPr>
          <w:rFonts w:ascii="Times New Roman" w:hAnsi="Times New Roman"/>
          <w:sz w:val="24"/>
          <w:lang w:val="es-ES"/>
        </w:rPr>
        <w:t>El comerciante que reciba devoluciones deberá reembolsar al cliente el IVU pagado en la compra.  Si el IVU pagado en la compra corresponde al 7%, ya que la compra fue hecha antes del 1 de julio de 2015, el comerciante deberá devolver el 7% sin considerar si la devolución se hace luego del 30 de junio de 2015.</w:t>
      </w:r>
    </w:p>
    <w:p w:rsidR="00D96A9D" w:rsidRPr="00D96A9D" w:rsidRDefault="00297138" w:rsidP="007F1A8F">
      <w:pPr>
        <w:pStyle w:val="ListParagraph"/>
        <w:numPr>
          <w:ilvl w:val="0"/>
          <w:numId w:val="13"/>
        </w:numPr>
        <w:spacing w:after="120" w:line="240" w:lineRule="auto"/>
        <w:jc w:val="both"/>
        <w:rPr>
          <w:rFonts w:ascii="Times New Roman" w:hAnsi="Times New Roman"/>
          <w:sz w:val="36"/>
          <w:lang w:val="es-ES"/>
        </w:rPr>
      </w:pPr>
      <w:r w:rsidRPr="00D96A9D">
        <w:rPr>
          <w:rFonts w:ascii="Times New Roman" w:hAnsi="Times New Roman"/>
          <w:b/>
          <w:sz w:val="24"/>
          <w:lang w:val="es-ES"/>
        </w:rPr>
        <w:t>Tengo un balance pendiente de pago a un comerciante por la compra de partidas tributables antes del 1 de julio de 2015.  ¿Debo pagar el IVU al 11.5% por el balance pendiente de pago de dicha compra?</w:t>
      </w:r>
    </w:p>
    <w:p w:rsidR="00D96A9D" w:rsidRPr="00D96A9D" w:rsidRDefault="00297138" w:rsidP="007F1A8F">
      <w:pPr>
        <w:pStyle w:val="ListParagraph"/>
        <w:numPr>
          <w:ilvl w:val="0"/>
          <w:numId w:val="9"/>
        </w:numPr>
        <w:spacing w:after="120" w:line="240" w:lineRule="auto"/>
        <w:jc w:val="both"/>
        <w:rPr>
          <w:rFonts w:ascii="Times New Roman" w:hAnsi="Times New Roman"/>
          <w:sz w:val="36"/>
          <w:lang w:val="es-ES"/>
        </w:rPr>
      </w:pPr>
      <w:r w:rsidRPr="00D96A9D">
        <w:rPr>
          <w:rFonts w:ascii="Times New Roman" w:hAnsi="Times New Roman"/>
          <w:sz w:val="24"/>
          <w:lang w:val="es-ES"/>
        </w:rPr>
        <w:t>No.  Los balances pendientes de pago al 30 de junio de 2015 por ventas realizadas antes de dicha fecha no están sujeto al IVU.  La venta original estuvo sujeta al IVU al momento en que se realizó dicha venta.</w:t>
      </w:r>
    </w:p>
    <w:p w:rsidR="00297138" w:rsidRPr="00067BC6" w:rsidRDefault="00297138" w:rsidP="007F1A8F">
      <w:pPr>
        <w:pStyle w:val="ListParagraph"/>
        <w:numPr>
          <w:ilvl w:val="0"/>
          <w:numId w:val="14"/>
        </w:numPr>
        <w:spacing w:after="120" w:line="240" w:lineRule="auto"/>
        <w:jc w:val="both"/>
        <w:rPr>
          <w:rFonts w:ascii="Times New Roman" w:hAnsi="Times New Roman"/>
          <w:sz w:val="36"/>
          <w:lang w:val="es-ES"/>
        </w:rPr>
      </w:pPr>
      <w:r w:rsidRPr="00D96A9D">
        <w:rPr>
          <w:rFonts w:ascii="Times New Roman" w:hAnsi="Times New Roman"/>
          <w:b/>
          <w:sz w:val="24"/>
          <w:lang w:val="es-ES"/>
        </w:rPr>
        <w:t>Tengo un contrato con fecha del 15 de junio de 2015 con mi suplidor para adquirir inventario el cual será entregado el 15 de julio de 2015.  ¿Tengo que pagar el IVU a la tasa del 11.5%?</w:t>
      </w:r>
    </w:p>
    <w:p w:rsidR="004C3084" w:rsidRPr="00D96A9D" w:rsidRDefault="00297138" w:rsidP="007F1A8F">
      <w:pPr>
        <w:pStyle w:val="ListParagraph"/>
        <w:numPr>
          <w:ilvl w:val="0"/>
          <w:numId w:val="9"/>
        </w:numPr>
        <w:spacing w:after="120" w:line="240" w:lineRule="auto"/>
        <w:jc w:val="both"/>
        <w:rPr>
          <w:rFonts w:ascii="Times New Roman" w:hAnsi="Times New Roman"/>
          <w:sz w:val="24"/>
          <w:lang w:val="es-ES"/>
        </w:rPr>
      </w:pPr>
      <w:r w:rsidRPr="00D96A9D">
        <w:rPr>
          <w:rFonts w:ascii="Times New Roman" w:hAnsi="Times New Roman"/>
          <w:sz w:val="24"/>
          <w:lang w:val="es-ES"/>
        </w:rPr>
        <w:t xml:space="preserve">Si el comprador y el vendedor siguen el procedimiento establecido en la Carta Circular de Política Contributiva </w:t>
      </w:r>
      <w:r w:rsidRPr="00D96A9D">
        <w:rPr>
          <w:rFonts w:ascii="Times New Roman" w:hAnsi="Times New Roman"/>
          <w:sz w:val="24"/>
          <w:highlight w:val="yellow"/>
          <w:lang w:val="es-ES"/>
        </w:rPr>
        <w:t>15-__</w:t>
      </w:r>
      <w:r w:rsidRPr="00D96A9D">
        <w:rPr>
          <w:rFonts w:ascii="Times New Roman" w:hAnsi="Times New Roman"/>
          <w:sz w:val="24"/>
          <w:lang w:val="es-ES"/>
        </w:rPr>
        <w:t xml:space="preserve"> emitida el __ de junio de 2015 para calificar su contrato, el inventario no tributará al 11.5% sino al 6%.</w:t>
      </w:r>
    </w:p>
    <w:p w:rsidR="00EC735A" w:rsidRPr="00EC735A" w:rsidRDefault="00297138" w:rsidP="00EC735A">
      <w:pPr>
        <w:pStyle w:val="ListParagraph"/>
        <w:numPr>
          <w:ilvl w:val="0"/>
          <w:numId w:val="15"/>
        </w:numPr>
        <w:spacing w:after="120" w:line="240" w:lineRule="auto"/>
        <w:jc w:val="both"/>
        <w:rPr>
          <w:rFonts w:ascii="Times New Roman" w:hAnsi="Times New Roman"/>
          <w:sz w:val="24"/>
          <w:lang w:val="es-ES"/>
        </w:rPr>
      </w:pPr>
      <w:r w:rsidRPr="00D96A9D">
        <w:rPr>
          <w:rFonts w:ascii="Times New Roman" w:hAnsi="Times New Roman"/>
          <w:b/>
          <w:sz w:val="24"/>
          <w:lang w:val="es-ES"/>
        </w:rPr>
        <w:t>Pagué mi factura de teléfono del mes de julio antes del 30 de junio de 2015.  ¿Tengo que pagar el IVU por este servicio a la tasa del 11.5%?</w:t>
      </w:r>
    </w:p>
    <w:p w:rsidR="004C6076" w:rsidRPr="00EC735A" w:rsidRDefault="004C3084" w:rsidP="00EC735A">
      <w:pPr>
        <w:pStyle w:val="ListParagraph"/>
        <w:numPr>
          <w:ilvl w:val="0"/>
          <w:numId w:val="9"/>
        </w:numPr>
        <w:spacing w:after="120" w:line="240" w:lineRule="auto"/>
        <w:jc w:val="both"/>
        <w:rPr>
          <w:rFonts w:ascii="Times New Roman" w:hAnsi="Times New Roman"/>
          <w:sz w:val="24"/>
          <w:lang w:val="es-ES"/>
        </w:rPr>
      </w:pPr>
      <w:r w:rsidRPr="00EC735A">
        <w:rPr>
          <w:rFonts w:ascii="Times New Roman" w:hAnsi="Times New Roman"/>
          <w:sz w:val="24"/>
          <w:lang w:val="es-ES"/>
        </w:rPr>
        <w:t xml:space="preserve">No. </w:t>
      </w:r>
      <w:r w:rsidR="00297138" w:rsidRPr="00EC735A">
        <w:rPr>
          <w:rFonts w:ascii="Times New Roman" w:hAnsi="Times New Roman"/>
          <w:sz w:val="24"/>
          <w:lang w:val="es-ES"/>
        </w:rPr>
        <w:t xml:space="preserve">En el caso de los servicios tributables, como el servicio </w:t>
      </w:r>
      <w:r w:rsidRPr="00EC735A">
        <w:rPr>
          <w:rFonts w:ascii="Times New Roman" w:hAnsi="Times New Roman"/>
          <w:sz w:val="24"/>
          <w:lang w:val="es-ES"/>
        </w:rPr>
        <w:t xml:space="preserve">de </w:t>
      </w:r>
      <w:r w:rsidR="00297138" w:rsidRPr="00EC735A">
        <w:rPr>
          <w:rFonts w:ascii="Times New Roman" w:hAnsi="Times New Roman"/>
          <w:sz w:val="24"/>
          <w:lang w:val="es-ES"/>
        </w:rPr>
        <w:t xml:space="preserve">telecomunicaciones, a ser rendidos en el mes de julio o meses subsiguientes, si el cliente paga la factura en o antes del 30 de junio de 2015 no se le aplicará el IVU a la </w:t>
      </w:r>
      <w:r w:rsidR="00A273F1" w:rsidRPr="00EC735A">
        <w:rPr>
          <w:rFonts w:ascii="Times New Roman" w:hAnsi="Times New Roman"/>
          <w:sz w:val="24"/>
          <w:lang w:val="es-ES"/>
        </w:rPr>
        <w:t>tasa del 11.5%.  Por el contrario</w:t>
      </w:r>
      <w:r w:rsidR="00297138" w:rsidRPr="00EC735A">
        <w:rPr>
          <w:rFonts w:ascii="Times New Roman" w:hAnsi="Times New Roman"/>
          <w:sz w:val="24"/>
          <w:lang w:val="es-ES"/>
        </w:rPr>
        <w:t>, si el cliente no paga su factura de servicio tributable a ser provisto en el mes de julio de 2015 o meses subsiguientes, se le aplicará el IVU a la tasa de 11.5%</w:t>
      </w:r>
      <w:r w:rsidR="002A644F" w:rsidRPr="00EC735A">
        <w:rPr>
          <w:rFonts w:ascii="Times New Roman" w:hAnsi="Times New Roman"/>
          <w:sz w:val="24"/>
          <w:lang w:val="es-ES"/>
        </w:rPr>
        <w:t>.</w:t>
      </w:r>
    </w:p>
    <w:p w:rsidR="009A2A5D" w:rsidRPr="00A3047C" w:rsidRDefault="009A2A5D" w:rsidP="009A2A5D">
      <w:pPr>
        <w:autoSpaceDE w:val="0"/>
        <w:autoSpaceDN w:val="0"/>
        <w:adjustRightInd w:val="0"/>
        <w:spacing w:after="120" w:line="240" w:lineRule="auto"/>
        <w:rPr>
          <w:rFonts w:ascii="Times New Roman" w:hAnsi="Times New Roman"/>
          <w:b/>
          <w:i/>
          <w:color w:val="000000"/>
          <w:sz w:val="24"/>
          <w:szCs w:val="24"/>
          <w:highlight w:val="yellow"/>
          <w:u w:val="single"/>
          <w:lang w:val="es-PR" w:eastAsia="es-PR"/>
        </w:rPr>
      </w:pPr>
      <w:r w:rsidRPr="00A3047C">
        <w:rPr>
          <w:rFonts w:ascii="Times New Roman" w:hAnsi="Times New Roman"/>
          <w:b/>
          <w:i/>
          <w:color w:val="000000"/>
          <w:sz w:val="24"/>
          <w:szCs w:val="24"/>
          <w:highlight w:val="yellow"/>
          <w:u w:val="single"/>
          <w:lang w:val="es-PR" w:eastAsia="es-PR"/>
        </w:rPr>
        <w:t>Preguntas Webcast sobre IVU (24 de junio de 2015)</w:t>
      </w:r>
    </w:p>
    <w:p w:rsidR="009A2A5D" w:rsidRPr="00A3047C" w:rsidRDefault="009A2A5D" w:rsidP="009A2A5D">
      <w:pPr>
        <w:pStyle w:val="ListParagraph"/>
        <w:numPr>
          <w:ilvl w:val="0"/>
          <w:numId w:val="19"/>
        </w:numPr>
        <w:autoSpaceDE w:val="0"/>
        <w:autoSpaceDN w:val="0"/>
        <w:adjustRightInd w:val="0"/>
        <w:spacing w:after="0" w:line="240" w:lineRule="auto"/>
        <w:rPr>
          <w:rFonts w:ascii="Times New Roman" w:hAnsi="Times New Roman"/>
          <w:color w:val="000000"/>
          <w:sz w:val="28"/>
          <w:szCs w:val="24"/>
          <w:highlight w:val="yellow"/>
          <w:lang w:val="es-PR" w:eastAsia="es-PR"/>
        </w:rPr>
      </w:pPr>
      <w:r w:rsidRPr="00A3047C">
        <w:rPr>
          <w:rFonts w:ascii="Times New Roman" w:hAnsi="Times New Roman"/>
          <w:b/>
          <w:color w:val="000000"/>
          <w:sz w:val="24"/>
          <w:szCs w:val="23"/>
          <w:highlight w:val="yellow"/>
          <w:lang w:val="es-PR" w:eastAsia="es-PR"/>
        </w:rPr>
        <w:t xml:space="preserve">Soy no agente retenedor porque mi volumen de negocio es </w:t>
      </w:r>
      <w:r w:rsidR="00BD1C59" w:rsidRPr="00A3047C">
        <w:rPr>
          <w:rFonts w:ascii="Times New Roman" w:hAnsi="Times New Roman"/>
          <w:b/>
          <w:color w:val="000000"/>
          <w:sz w:val="24"/>
          <w:szCs w:val="23"/>
          <w:highlight w:val="yellow"/>
          <w:lang w:val="es-PR" w:eastAsia="es-PR"/>
        </w:rPr>
        <w:t xml:space="preserve">de </w:t>
      </w:r>
      <w:r w:rsidRPr="00A3047C">
        <w:rPr>
          <w:rFonts w:ascii="Times New Roman" w:hAnsi="Times New Roman"/>
          <w:b/>
          <w:color w:val="000000"/>
          <w:sz w:val="24"/>
          <w:szCs w:val="23"/>
          <w:highlight w:val="yellow"/>
          <w:lang w:val="es-PR" w:eastAsia="es-PR"/>
        </w:rPr>
        <w:t>$37,000</w:t>
      </w:r>
      <w:r w:rsidR="00BD1C59" w:rsidRPr="00A3047C">
        <w:rPr>
          <w:rFonts w:ascii="Times New Roman" w:hAnsi="Times New Roman"/>
          <w:b/>
          <w:color w:val="000000"/>
          <w:sz w:val="24"/>
          <w:szCs w:val="23"/>
          <w:highlight w:val="yellow"/>
          <w:lang w:val="es-PR" w:eastAsia="es-PR"/>
        </w:rPr>
        <w:t xml:space="preserve"> dólares</w:t>
      </w:r>
      <w:r w:rsidRPr="00A3047C">
        <w:rPr>
          <w:rFonts w:ascii="Times New Roman" w:hAnsi="Times New Roman"/>
          <w:b/>
          <w:color w:val="000000"/>
          <w:sz w:val="24"/>
          <w:szCs w:val="23"/>
          <w:highlight w:val="yellow"/>
          <w:lang w:val="es-PR" w:eastAsia="es-PR"/>
        </w:rPr>
        <w:t>, por lo que no cobro IVU. Con la Ley 72,</w:t>
      </w:r>
      <w:r w:rsidRPr="00A3047C">
        <w:rPr>
          <w:rFonts w:ascii="Times New Roman" w:hAnsi="Times New Roman"/>
          <w:color w:val="000000"/>
          <w:sz w:val="24"/>
          <w:szCs w:val="23"/>
          <w:highlight w:val="yellow"/>
          <w:lang w:val="es-PR" w:eastAsia="es-PR"/>
        </w:rPr>
        <w:t xml:space="preserve"> </w:t>
      </w:r>
      <w:r w:rsidRPr="00A3047C">
        <w:rPr>
          <w:rFonts w:ascii="Times New Roman" w:hAnsi="Times New Roman"/>
          <w:b/>
          <w:bCs/>
          <w:color w:val="000000"/>
          <w:sz w:val="24"/>
          <w:szCs w:val="23"/>
          <w:highlight w:val="yellow"/>
          <w:lang w:val="es-PR" w:eastAsia="es-PR"/>
        </w:rPr>
        <w:t xml:space="preserve">¿ahora tendré que cobrar IVU desde </w:t>
      </w:r>
      <w:r w:rsidR="00BD1C59" w:rsidRPr="00A3047C">
        <w:rPr>
          <w:rFonts w:ascii="Times New Roman" w:hAnsi="Times New Roman"/>
          <w:b/>
          <w:bCs/>
          <w:color w:val="000000"/>
          <w:sz w:val="24"/>
          <w:szCs w:val="23"/>
          <w:highlight w:val="yellow"/>
          <w:lang w:val="es-PR" w:eastAsia="es-PR"/>
        </w:rPr>
        <w:t xml:space="preserve">el </w:t>
      </w:r>
      <w:r w:rsidRPr="00A3047C">
        <w:rPr>
          <w:rFonts w:ascii="Times New Roman" w:hAnsi="Times New Roman"/>
          <w:b/>
          <w:bCs/>
          <w:color w:val="000000"/>
          <w:sz w:val="24"/>
          <w:szCs w:val="23"/>
          <w:highlight w:val="yellow"/>
          <w:lang w:val="es-PR" w:eastAsia="es-PR"/>
        </w:rPr>
        <w:t>1 de julio de 2015 o desde</w:t>
      </w:r>
      <w:r w:rsidR="00BD1C59" w:rsidRPr="00A3047C">
        <w:rPr>
          <w:rFonts w:ascii="Times New Roman" w:hAnsi="Times New Roman"/>
          <w:b/>
          <w:bCs/>
          <w:color w:val="000000"/>
          <w:sz w:val="24"/>
          <w:szCs w:val="23"/>
          <w:highlight w:val="yellow"/>
          <w:lang w:val="es-PR" w:eastAsia="es-PR"/>
        </w:rPr>
        <w:t xml:space="preserve"> el</w:t>
      </w:r>
      <w:r w:rsidRPr="00A3047C">
        <w:rPr>
          <w:rFonts w:ascii="Times New Roman" w:hAnsi="Times New Roman"/>
          <w:b/>
          <w:bCs/>
          <w:color w:val="000000"/>
          <w:sz w:val="24"/>
          <w:szCs w:val="23"/>
          <w:highlight w:val="yellow"/>
          <w:lang w:val="es-PR" w:eastAsia="es-PR"/>
        </w:rPr>
        <w:t xml:space="preserve"> 1 octubre de 2015? </w:t>
      </w:r>
    </w:p>
    <w:p w:rsidR="009A2A5D" w:rsidRPr="00A3047C" w:rsidRDefault="009A2A5D" w:rsidP="009A2A5D">
      <w:pPr>
        <w:pStyle w:val="ListParagraph"/>
        <w:numPr>
          <w:ilvl w:val="0"/>
          <w:numId w:val="9"/>
        </w:numPr>
        <w:autoSpaceDE w:val="0"/>
        <w:autoSpaceDN w:val="0"/>
        <w:adjustRightInd w:val="0"/>
        <w:spacing w:after="0" w:line="240" w:lineRule="auto"/>
        <w:rPr>
          <w:rFonts w:ascii="Times New Roman" w:hAnsi="Times New Roman"/>
          <w:color w:val="000000"/>
          <w:sz w:val="28"/>
          <w:szCs w:val="24"/>
          <w:highlight w:val="yellow"/>
          <w:lang w:val="es-PR" w:eastAsia="es-PR"/>
        </w:rPr>
      </w:pPr>
      <w:r w:rsidRPr="00A3047C">
        <w:rPr>
          <w:rFonts w:ascii="Times New Roman" w:hAnsi="Times New Roman"/>
          <w:color w:val="000000"/>
          <w:sz w:val="24"/>
          <w:szCs w:val="23"/>
          <w:highlight w:val="yellow"/>
          <w:lang w:val="es-PR" w:eastAsia="es-PR"/>
        </w:rPr>
        <w:lastRenderedPageBreak/>
        <w:t>No, si usted es no agente retenedor porque su volumen de negocio no excede de $50,000, no tendrá que cobrar IVU.</w:t>
      </w:r>
    </w:p>
    <w:p w:rsidR="009A2A5D" w:rsidRPr="00A3047C" w:rsidRDefault="009A2A5D" w:rsidP="009A2A5D">
      <w:pPr>
        <w:pStyle w:val="ListParagraph"/>
        <w:numPr>
          <w:ilvl w:val="0"/>
          <w:numId w:val="19"/>
        </w:numPr>
        <w:autoSpaceDE w:val="0"/>
        <w:autoSpaceDN w:val="0"/>
        <w:adjustRightInd w:val="0"/>
        <w:spacing w:after="0" w:line="240" w:lineRule="auto"/>
        <w:rPr>
          <w:rFonts w:ascii="Times New Roman" w:hAnsi="Times New Roman"/>
          <w:color w:val="000000"/>
          <w:sz w:val="28"/>
          <w:szCs w:val="24"/>
          <w:highlight w:val="yellow"/>
          <w:lang w:val="es-PR" w:eastAsia="es-PR"/>
        </w:rPr>
      </w:pPr>
      <w:r w:rsidRPr="00A3047C">
        <w:rPr>
          <w:rFonts w:ascii="Times New Roman" w:hAnsi="Times New Roman"/>
          <w:b/>
          <w:color w:val="000000"/>
          <w:sz w:val="24"/>
          <w:szCs w:val="23"/>
          <w:highlight w:val="yellow"/>
          <w:lang w:val="es-PR" w:eastAsia="es-PR"/>
        </w:rPr>
        <w:t>Soy delineante profesional, el volumen de mi negocio excede de $50,000</w:t>
      </w:r>
      <w:r w:rsidR="00BD1C59" w:rsidRPr="00A3047C">
        <w:rPr>
          <w:rFonts w:ascii="Times New Roman" w:hAnsi="Times New Roman"/>
          <w:b/>
          <w:color w:val="000000"/>
          <w:sz w:val="24"/>
          <w:szCs w:val="23"/>
          <w:highlight w:val="yellow"/>
          <w:lang w:val="es-PR" w:eastAsia="es-PR"/>
        </w:rPr>
        <w:t xml:space="preserve"> dólares</w:t>
      </w:r>
      <w:r w:rsidRPr="00A3047C">
        <w:rPr>
          <w:rFonts w:ascii="Times New Roman" w:hAnsi="Times New Roman"/>
          <w:b/>
          <w:color w:val="000000"/>
          <w:sz w:val="24"/>
          <w:szCs w:val="23"/>
          <w:highlight w:val="yellow"/>
          <w:lang w:val="es-PR" w:eastAsia="es-PR"/>
        </w:rPr>
        <w:t>, pero tengo un certificado rojo que indica que no soy agente retenedor.</w:t>
      </w:r>
      <w:r w:rsidRPr="00A3047C">
        <w:rPr>
          <w:rFonts w:ascii="Times New Roman" w:hAnsi="Times New Roman"/>
          <w:color w:val="000000"/>
          <w:sz w:val="24"/>
          <w:szCs w:val="23"/>
          <w:highlight w:val="yellow"/>
          <w:lang w:val="es-PR" w:eastAsia="es-PR"/>
        </w:rPr>
        <w:t xml:space="preserve"> </w:t>
      </w:r>
      <w:r w:rsidRPr="00A3047C">
        <w:rPr>
          <w:rFonts w:ascii="Times New Roman" w:hAnsi="Times New Roman"/>
          <w:b/>
          <w:bCs/>
          <w:color w:val="000000"/>
          <w:sz w:val="24"/>
          <w:szCs w:val="23"/>
          <w:highlight w:val="yellow"/>
          <w:lang w:val="es-PR" w:eastAsia="es-PR"/>
        </w:rPr>
        <w:t>¿Van a emitir certificados nuevos o ten</w:t>
      </w:r>
      <w:r w:rsidR="00BD1C59" w:rsidRPr="00A3047C">
        <w:rPr>
          <w:rFonts w:ascii="Times New Roman" w:hAnsi="Times New Roman"/>
          <w:b/>
          <w:bCs/>
          <w:color w:val="000000"/>
          <w:sz w:val="24"/>
          <w:szCs w:val="23"/>
          <w:highlight w:val="yellow"/>
          <w:lang w:val="es-PR" w:eastAsia="es-PR"/>
        </w:rPr>
        <w:t xml:space="preserve">go que cobrar el IVU desde el 1 de octubre de </w:t>
      </w:r>
      <w:r w:rsidRPr="00A3047C">
        <w:rPr>
          <w:rFonts w:ascii="Times New Roman" w:hAnsi="Times New Roman"/>
          <w:b/>
          <w:bCs/>
          <w:color w:val="000000"/>
          <w:sz w:val="24"/>
          <w:szCs w:val="23"/>
          <w:highlight w:val="yellow"/>
          <w:lang w:val="es-PR" w:eastAsia="es-PR"/>
        </w:rPr>
        <w:t xml:space="preserve">2015 aunque mi certificado es rojo? </w:t>
      </w:r>
    </w:p>
    <w:p w:rsidR="009A2A5D" w:rsidRPr="00A3047C" w:rsidRDefault="009A2A5D" w:rsidP="009A2A5D">
      <w:pPr>
        <w:pStyle w:val="ListParagraph"/>
        <w:numPr>
          <w:ilvl w:val="0"/>
          <w:numId w:val="9"/>
        </w:numPr>
        <w:autoSpaceDE w:val="0"/>
        <w:autoSpaceDN w:val="0"/>
        <w:adjustRightInd w:val="0"/>
        <w:spacing w:after="0" w:line="240" w:lineRule="auto"/>
        <w:rPr>
          <w:rFonts w:ascii="Times New Roman" w:hAnsi="Times New Roman"/>
          <w:color w:val="000000"/>
          <w:sz w:val="28"/>
          <w:szCs w:val="24"/>
          <w:highlight w:val="yellow"/>
          <w:lang w:val="es-PR" w:eastAsia="es-PR"/>
        </w:rPr>
      </w:pPr>
      <w:r w:rsidRPr="00A3047C">
        <w:rPr>
          <w:rFonts w:ascii="Times New Roman" w:hAnsi="Times New Roman"/>
          <w:color w:val="000000"/>
          <w:sz w:val="24"/>
          <w:szCs w:val="23"/>
          <w:highlight w:val="yellow"/>
          <w:lang w:val="es-PR" w:eastAsia="es-PR"/>
        </w:rPr>
        <w:t>Se emitirán certificados nuevos de acuerdo a su volumen de negocio.</w:t>
      </w:r>
    </w:p>
    <w:p w:rsidR="009A2A5D" w:rsidRPr="00A3047C" w:rsidRDefault="009A2A5D" w:rsidP="009A2A5D">
      <w:pPr>
        <w:pStyle w:val="ListParagraph"/>
        <w:numPr>
          <w:ilvl w:val="0"/>
          <w:numId w:val="19"/>
        </w:numPr>
        <w:autoSpaceDE w:val="0"/>
        <w:autoSpaceDN w:val="0"/>
        <w:adjustRightInd w:val="0"/>
        <w:spacing w:after="0" w:line="240" w:lineRule="auto"/>
        <w:rPr>
          <w:rFonts w:ascii="Times New Roman" w:hAnsi="Times New Roman"/>
          <w:color w:val="000000"/>
          <w:sz w:val="32"/>
          <w:szCs w:val="24"/>
          <w:highlight w:val="yellow"/>
          <w:lang w:val="es-PR" w:eastAsia="es-PR"/>
        </w:rPr>
      </w:pPr>
      <w:r w:rsidRPr="00A3047C">
        <w:rPr>
          <w:rFonts w:ascii="Times New Roman" w:hAnsi="Times New Roman"/>
          <w:b/>
          <w:bCs/>
          <w:color w:val="000000"/>
          <w:sz w:val="24"/>
          <w:szCs w:val="23"/>
          <w:highlight w:val="yellow"/>
          <w:lang w:val="es-PR" w:eastAsia="es-PR"/>
        </w:rPr>
        <w:t xml:space="preserve">¿Puedo tomar un crédito en mi planilla por el 4% que pague sobre los servicios de instalación que recibiré en mi negocio a partir del 1/octubre/2015? </w:t>
      </w:r>
    </w:p>
    <w:p w:rsidR="009A2A5D" w:rsidRPr="00A3047C" w:rsidRDefault="009A2A5D" w:rsidP="009A2A5D">
      <w:pPr>
        <w:pStyle w:val="ListParagraph"/>
        <w:numPr>
          <w:ilvl w:val="0"/>
          <w:numId w:val="9"/>
        </w:numPr>
        <w:autoSpaceDE w:val="0"/>
        <w:autoSpaceDN w:val="0"/>
        <w:adjustRightInd w:val="0"/>
        <w:spacing w:after="0" w:line="240" w:lineRule="auto"/>
        <w:rPr>
          <w:rFonts w:ascii="Times New Roman" w:hAnsi="Times New Roman"/>
          <w:color w:val="000000"/>
          <w:sz w:val="32"/>
          <w:szCs w:val="24"/>
          <w:highlight w:val="yellow"/>
          <w:lang w:val="es-PR" w:eastAsia="es-PR"/>
        </w:rPr>
      </w:pPr>
      <w:r w:rsidRPr="00A3047C">
        <w:rPr>
          <w:rFonts w:ascii="Times New Roman" w:hAnsi="Times New Roman"/>
          <w:color w:val="000000"/>
          <w:sz w:val="24"/>
          <w:szCs w:val="23"/>
          <w:highlight w:val="yellow"/>
          <w:lang w:val="es-PR" w:eastAsia="es-PR"/>
        </w:rPr>
        <w:t>No puede reclamar crédito porque usted no es un Revendedor.</w:t>
      </w:r>
    </w:p>
    <w:p w:rsidR="009A2A5D" w:rsidRPr="00A3047C" w:rsidRDefault="009A2A5D" w:rsidP="009A2A5D">
      <w:pPr>
        <w:pStyle w:val="ListParagraph"/>
        <w:numPr>
          <w:ilvl w:val="0"/>
          <w:numId w:val="19"/>
        </w:numPr>
        <w:autoSpaceDE w:val="0"/>
        <w:autoSpaceDN w:val="0"/>
        <w:adjustRightInd w:val="0"/>
        <w:spacing w:after="0" w:line="240" w:lineRule="auto"/>
        <w:rPr>
          <w:rFonts w:ascii="Times New Roman" w:hAnsi="Times New Roman"/>
          <w:color w:val="000000"/>
          <w:sz w:val="36"/>
          <w:szCs w:val="24"/>
          <w:highlight w:val="yellow"/>
          <w:lang w:val="es-PR" w:eastAsia="es-PR"/>
        </w:rPr>
      </w:pPr>
      <w:r w:rsidRPr="00A3047C">
        <w:rPr>
          <w:rFonts w:ascii="Times New Roman" w:hAnsi="Times New Roman"/>
          <w:b/>
          <w:color w:val="000000"/>
          <w:sz w:val="24"/>
          <w:szCs w:val="23"/>
          <w:highlight w:val="yellow"/>
          <w:lang w:val="es-PR" w:eastAsia="es-PR"/>
        </w:rPr>
        <w:t>Soy agrónomo, en marzo 2015 cerré un contrato por 1 año con una compañía para ofrecerle mis servicios hasta marzo 2016. ¿</w:t>
      </w:r>
      <w:r w:rsidRPr="00A3047C">
        <w:rPr>
          <w:rFonts w:ascii="Times New Roman" w:hAnsi="Times New Roman"/>
          <w:b/>
          <w:bCs/>
          <w:color w:val="000000"/>
          <w:sz w:val="24"/>
          <w:szCs w:val="23"/>
          <w:highlight w:val="yellow"/>
          <w:lang w:val="es-PR" w:eastAsia="es-PR"/>
        </w:rPr>
        <w:t xml:space="preserve">Tengo que cobrar el 4% desde 1/octubre/2015 o qué tengo que hacer para no cobrar el 4% porque no lo había considerado en el contrato? </w:t>
      </w:r>
    </w:p>
    <w:p w:rsidR="009A2A5D" w:rsidRPr="00A3047C" w:rsidRDefault="009A2A5D" w:rsidP="009A2A5D">
      <w:pPr>
        <w:pStyle w:val="ListParagraph"/>
        <w:numPr>
          <w:ilvl w:val="0"/>
          <w:numId w:val="9"/>
        </w:numPr>
        <w:autoSpaceDE w:val="0"/>
        <w:autoSpaceDN w:val="0"/>
        <w:adjustRightInd w:val="0"/>
        <w:spacing w:after="0" w:line="240" w:lineRule="auto"/>
        <w:rPr>
          <w:rFonts w:ascii="Times New Roman" w:hAnsi="Times New Roman"/>
          <w:color w:val="000000"/>
          <w:sz w:val="36"/>
          <w:szCs w:val="24"/>
          <w:highlight w:val="yellow"/>
          <w:lang w:val="es-PR" w:eastAsia="es-PR"/>
        </w:rPr>
      </w:pPr>
      <w:r w:rsidRPr="00A3047C">
        <w:rPr>
          <w:rFonts w:ascii="Times New Roman" w:hAnsi="Times New Roman"/>
          <w:color w:val="000000"/>
          <w:sz w:val="24"/>
          <w:szCs w:val="23"/>
          <w:highlight w:val="yellow"/>
          <w:lang w:val="es-PR" w:eastAsia="es-PR"/>
        </w:rPr>
        <w:t>Un comerciante proveedor de dichos servicios y la persona que recibe el servicio que sea parte de un contrato calificado que hayan adquirido los relevos correspondientes por parte del Secretario, de conformidad con la Parte C de la CC PC 15-11, podrá prestar, en el caso del proveedor, y recibir, en el caso de la persona que recibe el servicio, los servicios exentos del IVU durante un periodo de doce (12) meses comenzados luego del 30 de septiembre de 2015 o hasta la fecha en la cual termine el contrato, lo que sea más próximo. Deberá completar el Modelo provisto para ese propósito. Usted deberá solicitar un Relevo del Cobro y su cliente también deberá solicitar un Relevo de Pago. Además su cliente deberá pagarle al 30 de junio de 2015 los honorarios por esos servicios que usted prestará.</w:t>
      </w:r>
    </w:p>
    <w:p w:rsidR="00725272" w:rsidRPr="00A3047C" w:rsidRDefault="00725272" w:rsidP="00725272">
      <w:pPr>
        <w:autoSpaceDE w:val="0"/>
        <w:autoSpaceDN w:val="0"/>
        <w:adjustRightInd w:val="0"/>
        <w:spacing w:after="0" w:line="240" w:lineRule="auto"/>
        <w:rPr>
          <w:rFonts w:ascii="Arial" w:hAnsi="Arial" w:cs="Arial"/>
          <w:color w:val="000000"/>
          <w:sz w:val="24"/>
          <w:szCs w:val="24"/>
          <w:highlight w:val="yellow"/>
          <w:lang w:val="es-PR" w:eastAsia="es-PR"/>
        </w:rPr>
      </w:pPr>
    </w:p>
    <w:p w:rsidR="00725272" w:rsidRPr="00A3047C" w:rsidRDefault="00725272" w:rsidP="00725272">
      <w:pPr>
        <w:pStyle w:val="ListParagraph"/>
        <w:numPr>
          <w:ilvl w:val="0"/>
          <w:numId w:val="29"/>
        </w:numPr>
        <w:autoSpaceDE w:val="0"/>
        <w:autoSpaceDN w:val="0"/>
        <w:adjustRightInd w:val="0"/>
        <w:spacing w:after="0" w:line="240" w:lineRule="auto"/>
        <w:rPr>
          <w:rFonts w:ascii="Times New Roman" w:hAnsi="Times New Roman"/>
          <w:sz w:val="24"/>
          <w:szCs w:val="24"/>
          <w:highlight w:val="yellow"/>
          <w:lang w:val="es-PR" w:eastAsia="es-PR"/>
        </w:rPr>
      </w:pPr>
      <w:r w:rsidRPr="00A3047C">
        <w:rPr>
          <w:rFonts w:ascii="Times New Roman" w:hAnsi="Times New Roman"/>
          <w:b/>
          <w:bCs/>
          <w:sz w:val="24"/>
          <w:szCs w:val="24"/>
          <w:highlight w:val="yellow"/>
          <w:lang w:val="es-PR" w:eastAsia="es-PR"/>
        </w:rPr>
        <w:t xml:space="preserve">Tengo un contrato para la venta de escritorios a una oficina. ¿Hasta qué fecha tengo para solicitar el Relevo Parcial? </w:t>
      </w:r>
    </w:p>
    <w:p w:rsidR="00725272" w:rsidRPr="00A3047C" w:rsidRDefault="00725272" w:rsidP="00725272">
      <w:pPr>
        <w:pStyle w:val="ListParagraph"/>
        <w:numPr>
          <w:ilvl w:val="0"/>
          <w:numId w:val="9"/>
        </w:numPr>
        <w:autoSpaceDE w:val="0"/>
        <w:autoSpaceDN w:val="0"/>
        <w:adjustRightInd w:val="0"/>
        <w:spacing w:after="0" w:line="240" w:lineRule="auto"/>
        <w:rPr>
          <w:rFonts w:ascii="Times New Roman" w:hAnsi="Times New Roman"/>
          <w:sz w:val="24"/>
          <w:szCs w:val="24"/>
          <w:highlight w:val="yellow"/>
          <w:lang w:val="es-PR" w:eastAsia="es-PR"/>
        </w:rPr>
      </w:pPr>
      <w:r w:rsidRPr="00A3047C">
        <w:rPr>
          <w:rFonts w:ascii="Times New Roman" w:hAnsi="Times New Roman"/>
          <w:sz w:val="24"/>
          <w:szCs w:val="24"/>
          <w:highlight w:val="yellow"/>
          <w:lang w:val="es-PR" w:eastAsia="es-PR"/>
        </w:rPr>
        <w:t xml:space="preserve">Tiene hasta el 31 de julio de 2015 para solicitar el Relevo siguiendo las instrucciones establecidas en la CC PC 15-09. </w:t>
      </w:r>
    </w:p>
    <w:p w:rsidR="00725272" w:rsidRPr="00A3047C" w:rsidRDefault="00725272" w:rsidP="00725272">
      <w:pPr>
        <w:pStyle w:val="ListParagraph"/>
        <w:numPr>
          <w:ilvl w:val="0"/>
          <w:numId w:val="29"/>
        </w:numPr>
        <w:autoSpaceDE w:val="0"/>
        <w:autoSpaceDN w:val="0"/>
        <w:adjustRightInd w:val="0"/>
        <w:spacing w:after="0" w:line="240" w:lineRule="auto"/>
        <w:rPr>
          <w:rFonts w:ascii="Times New Roman" w:hAnsi="Times New Roman"/>
          <w:sz w:val="24"/>
          <w:szCs w:val="24"/>
          <w:highlight w:val="yellow"/>
          <w:lang w:val="es-PR" w:eastAsia="es-PR"/>
        </w:rPr>
      </w:pPr>
      <w:r w:rsidRPr="00A3047C">
        <w:rPr>
          <w:rFonts w:ascii="Times New Roman" w:hAnsi="Times New Roman"/>
          <w:b/>
          <w:bCs/>
          <w:sz w:val="24"/>
          <w:szCs w:val="24"/>
          <w:highlight w:val="yellow"/>
          <w:lang w:val="es-PR" w:eastAsia="es-PR"/>
        </w:rPr>
        <w:t xml:space="preserve">¿Hay un formulario para solicitar los Relevos Parciales o es con una carta? ¿A dónde la envío? </w:t>
      </w:r>
    </w:p>
    <w:p w:rsidR="00725272" w:rsidRPr="00A3047C" w:rsidRDefault="00725272" w:rsidP="00725272">
      <w:pPr>
        <w:pStyle w:val="ListParagraph"/>
        <w:numPr>
          <w:ilvl w:val="0"/>
          <w:numId w:val="9"/>
        </w:numPr>
        <w:autoSpaceDE w:val="0"/>
        <w:autoSpaceDN w:val="0"/>
        <w:adjustRightInd w:val="0"/>
        <w:spacing w:after="0" w:line="240" w:lineRule="auto"/>
        <w:rPr>
          <w:rFonts w:ascii="Times New Roman" w:hAnsi="Times New Roman"/>
          <w:sz w:val="24"/>
          <w:szCs w:val="24"/>
          <w:highlight w:val="yellow"/>
          <w:lang w:val="es-PR" w:eastAsia="es-PR"/>
        </w:rPr>
      </w:pPr>
      <w:r w:rsidRPr="00A3047C">
        <w:rPr>
          <w:rFonts w:ascii="Times New Roman" w:hAnsi="Times New Roman"/>
          <w:sz w:val="24"/>
          <w:szCs w:val="24"/>
          <w:highlight w:val="yellow"/>
          <w:lang w:val="es-PR" w:eastAsia="es-PR"/>
        </w:rPr>
        <w:t xml:space="preserve">Dependiendo de cuál sea el contrato calificado, deberá utilizar el modelo provisto para ese propósito según establecido en las Cartas Circulares de Política Contributiva. </w:t>
      </w:r>
    </w:p>
    <w:p w:rsidR="00725272" w:rsidRPr="00A3047C" w:rsidRDefault="00725272" w:rsidP="00725272">
      <w:pPr>
        <w:pStyle w:val="ListParagraph"/>
        <w:numPr>
          <w:ilvl w:val="0"/>
          <w:numId w:val="29"/>
        </w:numPr>
        <w:autoSpaceDE w:val="0"/>
        <w:autoSpaceDN w:val="0"/>
        <w:adjustRightInd w:val="0"/>
        <w:spacing w:after="0" w:line="240" w:lineRule="auto"/>
        <w:rPr>
          <w:rFonts w:ascii="Times New Roman" w:hAnsi="Times New Roman"/>
          <w:b/>
          <w:sz w:val="24"/>
          <w:szCs w:val="24"/>
          <w:highlight w:val="yellow"/>
          <w:lang w:val="es-PR" w:eastAsia="es-PR"/>
        </w:rPr>
      </w:pPr>
      <w:r w:rsidRPr="00A3047C">
        <w:rPr>
          <w:rFonts w:ascii="Times New Roman" w:hAnsi="Times New Roman"/>
          <w:b/>
          <w:sz w:val="24"/>
          <w:szCs w:val="24"/>
          <w:highlight w:val="yellow"/>
          <w:lang w:val="es-PR" w:eastAsia="es-PR"/>
        </w:rPr>
        <w:t xml:space="preserve">Cuando preste mis servicios como ingeniero en octubre, </w:t>
      </w:r>
      <w:r w:rsidRPr="00A3047C">
        <w:rPr>
          <w:rFonts w:ascii="Times New Roman" w:hAnsi="Times New Roman"/>
          <w:b/>
          <w:bCs/>
          <w:sz w:val="24"/>
          <w:szCs w:val="24"/>
          <w:highlight w:val="yellow"/>
          <w:lang w:val="es-PR" w:eastAsia="es-PR"/>
        </w:rPr>
        <w:t xml:space="preserve">¿tengo que cobrar el 4% y el 1%? </w:t>
      </w:r>
    </w:p>
    <w:p w:rsidR="00725272" w:rsidRPr="00A3047C" w:rsidRDefault="00725272" w:rsidP="00725272">
      <w:pPr>
        <w:pStyle w:val="ListParagraph"/>
        <w:numPr>
          <w:ilvl w:val="0"/>
          <w:numId w:val="9"/>
        </w:numPr>
        <w:autoSpaceDE w:val="0"/>
        <w:autoSpaceDN w:val="0"/>
        <w:adjustRightInd w:val="0"/>
        <w:spacing w:after="0" w:line="240" w:lineRule="auto"/>
        <w:rPr>
          <w:rFonts w:ascii="Times New Roman" w:hAnsi="Times New Roman"/>
          <w:sz w:val="24"/>
          <w:szCs w:val="24"/>
          <w:highlight w:val="yellow"/>
          <w:lang w:val="es-PR" w:eastAsia="es-PR"/>
        </w:rPr>
      </w:pPr>
      <w:r w:rsidRPr="00A3047C">
        <w:rPr>
          <w:rFonts w:ascii="Times New Roman" w:hAnsi="Times New Roman"/>
          <w:sz w:val="24"/>
          <w:szCs w:val="24"/>
          <w:highlight w:val="yellow"/>
          <w:lang w:val="es-PR" w:eastAsia="es-PR"/>
        </w:rPr>
        <w:t xml:space="preserve">Si es agente retenedor (volumen mayor de $50,000 o $125,000 (enmiendas técnicas) cobrará el 4% pero NO cobrará el 1% municipal. Los servicios prestados </w:t>
      </w:r>
      <w:r w:rsidRPr="00A3047C">
        <w:rPr>
          <w:rFonts w:ascii="Times New Roman" w:hAnsi="Times New Roman"/>
          <w:sz w:val="24"/>
          <w:szCs w:val="24"/>
          <w:highlight w:val="yellow"/>
          <w:lang w:val="es-PR" w:eastAsia="es-PR"/>
        </w:rPr>
        <w:lastRenderedPageBreak/>
        <w:t xml:space="preserve">por servicios profesionales designados y por los servicios a otros comerciantes no estarán sujetos al 1% municipal. </w:t>
      </w:r>
    </w:p>
    <w:p w:rsidR="00725272" w:rsidRPr="00A3047C" w:rsidRDefault="00725272" w:rsidP="00725272">
      <w:pPr>
        <w:pStyle w:val="ListParagraph"/>
        <w:numPr>
          <w:ilvl w:val="0"/>
          <w:numId w:val="29"/>
        </w:numPr>
        <w:autoSpaceDE w:val="0"/>
        <w:autoSpaceDN w:val="0"/>
        <w:adjustRightInd w:val="0"/>
        <w:spacing w:after="0" w:line="240" w:lineRule="auto"/>
        <w:rPr>
          <w:rFonts w:ascii="Times New Roman" w:hAnsi="Times New Roman"/>
          <w:sz w:val="24"/>
          <w:szCs w:val="24"/>
          <w:highlight w:val="yellow"/>
          <w:lang w:val="es-PR" w:eastAsia="es-PR"/>
        </w:rPr>
      </w:pPr>
      <w:r w:rsidRPr="00A3047C">
        <w:rPr>
          <w:rFonts w:ascii="Times New Roman" w:hAnsi="Times New Roman"/>
          <w:b/>
          <w:bCs/>
          <w:sz w:val="24"/>
          <w:szCs w:val="24"/>
          <w:highlight w:val="yellow"/>
          <w:lang w:val="es-PR" w:eastAsia="es-PR"/>
        </w:rPr>
        <w:t xml:space="preserve">¿Los </w:t>
      </w:r>
      <w:r w:rsidR="007356C1" w:rsidRPr="00A3047C">
        <w:rPr>
          <w:rFonts w:ascii="Times New Roman" w:hAnsi="Times New Roman"/>
          <w:b/>
          <w:bCs/>
          <w:sz w:val="24"/>
          <w:szCs w:val="24"/>
          <w:highlight w:val="yellow"/>
          <w:lang w:val="es-PR" w:eastAsia="es-PR"/>
        </w:rPr>
        <w:t>alimentos empiezan a tributar el 1 de</w:t>
      </w:r>
      <w:r w:rsidRPr="00A3047C">
        <w:rPr>
          <w:rFonts w:ascii="Times New Roman" w:hAnsi="Times New Roman"/>
          <w:b/>
          <w:bCs/>
          <w:sz w:val="24"/>
          <w:szCs w:val="24"/>
          <w:highlight w:val="yellow"/>
          <w:lang w:val="es-PR" w:eastAsia="es-PR"/>
        </w:rPr>
        <w:t xml:space="preserve"> julio 1 de 2015? </w:t>
      </w:r>
    </w:p>
    <w:p w:rsidR="00725272" w:rsidRPr="00A3047C" w:rsidRDefault="00725272" w:rsidP="00725272">
      <w:pPr>
        <w:pStyle w:val="ListParagraph"/>
        <w:numPr>
          <w:ilvl w:val="0"/>
          <w:numId w:val="9"/>
        </w:numPr>
        <w:autoSpaceDE w:val="0"/>
        <w:autoSpaceDN w:val="0"/>
        <w:adjustRightInd w:val="0"/>
        <w:spacing w:after="0" w:line="240" w:lineRule="auto"/>
        <w:rPr>
          <w:rFonts w:ascii="Times New Roman" w:hAnsi="Times New Roman"/>
          <w:sz w:val="24"/>
          <w:szCs w:val="24"/>
          <w:highlight w:val="yellow"/>
          <w:lang w:val="es-PR" w:eastAsia="es-PR"/>
        </w:rPr>
      </w:pPr>
      <w:r w:rsidRPr="00A3047C">
        <w:rPr>
          <w:rFonts w:ascii="Times New Roman" w:hAnsi="Times New Roman"/>
          <w:sz w:val="24"/>
          <w:szCs w:val="24"/>
          <w:highlight w:val="yellow"/>
          <w:lang w:val="es-PR" w:eastAsia="es-PR"/>
        </w:rPr>
        <w:t xml:space="preserve">No, los alimentos e ingredientes para alimentos se mantienen exentos. Sin embargo, los alimentos preparados continúan siendo tributables y tributarán al 10.5% + 1%. </w:t>
      </w:r>
    </w:p>
    <w:p w:rsidR="00725272" w:rsidRPr="00A3047C" w:rsidRDefault="00725272" w:rsidP="00725272">
      <w:pPr>
        <w:pStyle w:val="ListParagraph"/>
        <w:numPr>
          <w:ilvl w:val="0"/>
          <w:numId w:val="29"/>
        </w:numPr>
        <w:autoSpaceDE w:val="0"/>
        <w:autoSpaceDN w:val="0"/>
        <w:adjustRightInd w:val="0"/>
        <w:spacing w:after="0" w:line="240" w:lineRule="auto"/>
        <w:rPr>
          <w:rFonts w:ascii="Times New Roman" w:hAnsi="Times New Roman"/>
          <w:sz w:val="24"/>
          <w:szCs w:val="24"/>
          <w:highlight w:val="yellow"/>
          <w:lang w:val="es-PR" w:eastAsia="es-PR"/>
        </w:rPr>
      </w:pPr>
      <w:r w:rsidRPr="00A3047C">
        <w:rPr>
          <w:rFonts w:ascii="Times New Roman" w:hAnsi="Times New Roman"/>
          <w:b/>
          <w:bCs/>
          <w:sz w:val="24"/>
          <w:szCs w:val="24"/>
          <w:highlight w:val="yellow"/>
          <w:lang w:val="es-PR" w:eastAsia="es-PR"/>
        </w:rPr>
        <w:t xml:space="preserve">¿De cuánto será el crédito que podrá reclamar un comerciante que es revendedor? </w:t>
      </w:r>
    </w:p>
    <w:p w:rsidR="00725272" w:rsidRPr="00A3047C" w:rsidRDefault="00725272" w:rsidP="00725272">
      <w:pPr>
        <w:pStyle w:val="ListParagraph"/>
        <w:numPr>
          <w:ilvl w:val="0"/>
          <w:numId w:val="9"/>
        </w:numPr>
        <w:autoSpaceDE w:val="0"/>
        <w:autoSpaceDN w:val="0"/>
        <w:adjustRightInd w:val="0"/>
        <w:spacing w:after="0" w:line="240" w:lineRule="auto"/>
        <w:rPr>
          <w:rFonts w:ascii="Times New Roman" w:hAnsi="Times New Roman"/>
          <w:sz w:val="24"/>
          <w:szCs w:val="24"/>
          <w:highlight w:val="yellow"/>
          <w:lang w:val="es-PR" w:eastAsia="es-PR"/>
        </w:rPr>
      </w:pPr>
      <w:r w:rsidRPr="00A3047C">
        <w:rPr>
          <w:rFonts w:ascii="Times New Roman" w:hAnsi="Times New Roman"/>
          <w:sz w:val="24"/>
          <w:szCs w:val="24"/>
          <w:highlight w:val="yellow"/>
          <w:lang w:val="es-PR" w:eastAsia="es-PR"/>
        </w:rPr>
        <w:t>A partir del 1</w:t>
      </w:r>
      <w:r w:rsidR="00C03063" w:rsidRPr="00A3047C">
        <w:rPr>
          <w:rFonts w:ascii="Times New Roman" w:hAnsi="Times New Roman"/>
          <w:sz w:val="24"/>
          <w:szCs w:val="24"/>
          <w:highlight w:val="yellow"/>
          <w:lang w:val="es-PR" w:eastAsia="es-PR"/>
        </w:rPr>
        <w:t xml:space="preserve"> de julio de </w:t>
      </w:r>
      <w:r w:rsidRPr="00A3047C">
        <w:rPr>
          <w:rFonts w:ascii="Times New Roman" w:hAnsi="Times New Roman"/>
          <w:sz w:val="24"/>
          <w:szCs w:val="24"/>
          <w:highlight w:val="yellow"/>
          <w:lang w:val="es-PR" w:eastAsia="es-PR"/>
        </w:rPr>
        <w:t xml:space="preserve">2015 el crédito podrá ser hasta 100% de la responsabilidad contributiva que refleje la planilla. Escogerá lo menor entre el impuesto pagado en el inventario para la reventa y el 100% de su responsabilidad contributiva de ese mes. </w:t>
      </w:r>
    </w:p>
    <w:p w:rsidR="00725272" w:rsidRPr="00A3047C" w:rsidRDefault="00725272" w:rsidP="00725272">
      <w:pPr>
        <w:pStyle w:val="ListParagraph"/>
        <w:numPr>
          <w:ilvl w:val="0"/>
          <w:numId w:val="29"/>
        </w:numPr>
        <w:autoSpaceDE w:val="0"/>
        <w:autoSpaceDN w:val="0"/>
        <w:adjustRightInd w:val="0"/>
        <w:spacing w:after="0" w:line="240" w:lineRule="auto"/>
        <w:rPr>
          <w:rFonts w:ascii="Times New Roman" w:hAnsi="Times New Roman"/>
          <w:sz w:val="24"/>
          <w:szCs w:val="24"/>
          <w:highlight w:val="yellow"/>
          <w:lang w:val="es-PR" w:eastAsia="es-PR"/>
        </w:rPr>
      </w:pPr>
      <w:r w:rsidRPr="00A3047C">
        <w:rPr>
          <w:rFonts w:ascii="Times New Roman" w:hAnsi="Times New Roman"/>
          <w:b/>
          <w:bCs/>
          <w:sz w:val="24"/>
          <w:szCs w:val="24"/>
          <w:highlight w:val="yellow"/>
          <w:lang w:val="es-PR" w:eastAsia="es-PR"/>
        </w:rPr>
        <w:t xml:space="preserve">¿A cuánto aumentó la tasa municipal? </w:t>
      </w:r>
    </w:p>
    <w:p w:rsidR="00725272" w:rsidRPr="00A3047C" w:rsidRDefault="00725272" w:rsidP="00725272">
      <w:pPr>
        <w:pStyle w:val="ListParagraph"/>
        <w:numPr>
          <w:ilvl w:val="0"/>
          <w:numId w:val="9"/>
        </w:numPr>
        <w:autoSpaceDE w:val="0"/>
        <w:autoSpaceDN w:val="0"/>
        <w:adjustRightInd w:val="0"/>
        <w:spacing w:after="0" w:line="240" w:lineRule="auto"/>
        <w:rPr>
          <w:rFonts w:ascii="Times New Roman" w:hAnsi="Times New Roman"/>
          <w:sz w:val="24"/>
          <w:szCs w:val="24"/>
          <w:highlight w:val="yellow"/>
          <w:lang w:val="es-PR" w:eastAsia="es-PR"/>
        </w:rPr>
      </w:pPr>
      <w:r w:rsidRPr="00A3047C">
        <w:rPr>
          <w:rFonts w:ascii="Times New Roman" w:hAnsi="Times New Roman"/>
          <w:sz w:val="24"/>
          <w:szCs w:val="24"/>
          <w:highlight w:val="yellow"/>
          <w:lang w:val="es-PR" w:eastAsia="es-PR"/>
        </w:rPr>
        <w:t xml:space="preserve">La tasa municipal no cambió, se mantuvo en 1%. </w:t>
      </w:r>
    </w:p>
    <w:p w:rsidR="00725272" w:rsidRPr="00A3047C" w:rsidRDefault="00725272" w:rsidP="00725272">
      <w:pPr>
        <w:pStyle w:val="ListParagraph"/>
        <w:numPr>
          <w:ilvl w:val="0"/>
          <w:numId w:val="29"/>
        </w:numPr>
        <w:autoSpaceDE w:val="0"/>
        <w:autoSpaceDN w:val="0"/>
        <w:adjustRightInd w:val="0"/>
        <w:spacing w:after="0" w:line="240" w:lineRule="auto"/>
        <w:rPr>
          <w:rFonts w:ascii="Times New Roman" w:hAnsi="Times New Roman"/>
          <w:sz w:val="24"/>
          <w:szCs w:val="24"/>
          <w:highlight w:val="yellow"/>
          <w:lang w:val="es-PR" w:eastAsia="es-PR"/>
        </w:rPr>
      </w:pPr>
      <w:r w:rsidRPr="00A3047C">
        <w:rPr>
          <w:rFonts w:ascii="Times New Roman" w:hAnsi="Times New Roman"/>
          <w:b/>
          <w:bCs/>
          <w:sz w:val="24"/>
          <w:szCs w:val="24"/>
          <w:highlight w:val="yellow"/>
          <w:lang w:val="es-PR" w:eastAsia="es-PR"/>
        </w:rPr>
        <w:t xml:space="preserve">¿Desde el 1 de octubre de 2015, tengo que solicitar un terminal de IVU loto porque tendré que cobrar el 4% por ser servicio profesional designado? </w:t>
      </w:r>
    </w:p>
    <w:p w:rsidR="00805E16" w:rsidRPr="00A3047C" w:rsidRDefault="00C70B43" w:rsidP="00C70B43">
      <w:pPr>
        <w:pStyle w:val="ListParagraph"/>
        <w:numPr>
          <w:ilvl w:val="0"/>
          <w:numId w:val="9"/>
        </w:numPr>
        <w:autoSpaceDE w:val="0"/>
        <w:autoSpaceDN w:val="0"/>
        <w:adjustRightInd w:val="0"/>
        <w:spacing w:after="0" w:line="240" w:lineRule="auto"/>
        <w:rPr>
          <w:rFonts w:ascii="Times New Roman" w:hAnsi="Times New Roman"/>
          <w:sz w:val="24"/>
          <w:szCs w:val="24"/>
          <w:highlight w:val="yellow"/>
          <w:lang w:val="es-PR" w:eastAsia="es-PR"/>
        </w:rPr>
      </w:pPr>
      <w:r w:rsidRPr="00A3047C">
        <w:rPr>
          <w:rFonts w:ascii="Times New Roman" w:hAnsi="Times New Roman"/>
          <w:sz w:val="24"/>
          <w:szCs w:val="24"/>
          <w:highlight w:val="yellow"/>
          <w:lang w:val="es-PR" w:eastAsia="es-PR"/>
        </w:rPr>
        <w:t>Hasta este momento, la obligación de instalar un terminal fiscal de IVU Loto no aplica a comerciantes que exclusivamente</w:t>
      </w:r>
      <w:r w:rsidR="00805E16" w:rsidRPr="00A3047C">
        <w:rPr>
          <w:rFonts w:ascii="Times New Roman" w:hAnsi="Times New Roman"/>
          <w:sz w:val="24"/>
          <w:szCs w:val="24"/>
          <w:highlight w:val="yellow"/>
          <w:lang w:val="es-PR" w:eastAsia="es-PR"/>
        </w:rPr>
        <w:t xml:space="preserve"> presten servicios profesionales designados, por lo tanto están excluidos del terminal fiscal de IVU Loto.</w:t>
      </w:r>
    </w:p>
    <w:p w:rsidR="00805E16" w:rsidRPr="00A3047C" w:rsidRDefault="00805E16" w:rsidP="00805E16">
      <w:pPr>
        <w:pStyle w:val="ListParagraph"/>
        <w:numPr>
          <w:ilvl w:val="0"/>
          <w:numId w:val="29"/>
        </w:numPr>
        <w:autoSpaceDE w:val="0"/>
        <w:autoSpaceDN w:val="0"/>
        <w:adjustRightInd w:val="0"/>
        <w:spacing w:after="0" w:line="240" w:lineRule="auto"/>
        <w:rPr>
          <w:rFonts w:ascii="Times New Roman" w:hAnsi="Times New Roman"/>
          <w:b/>
          <w:sz w:val="24"/>
          <w:szCs w:val="24"/>
          <w:highlight w:val="yellow"/>
          <w:lang w:val="es-PR" w:eastAsia="es-PR"/>
        </w:rPr>
      </w:pPr>
      <w:r w:rsidRPr="00A3047C">
        <w:rPr>
          <w:rFonts w:ascii="Times New Roman" w:hAnsi="Times New Roman"/>
          <w:b/>
          <w:sz w:val="24"/>
          <w:szCs w:val="24"/>
          <w:highlight w:val="yellow"/>
          <w:lang w:val="es-PR" w:eastAsia="es-PR"/>
        </w:rPr>
        <w:t>¿Quién podrá solicitar un reintegro de IVU?</w:t>
      </w:r>
    </w:p>
    <w:p w:rsidR="00805E16" w:rsidRPr="00A3047C" w:rsidRDefault="00805E16" w:rsidP="00805E16">
      <w:pPr>
        <w:pStyle w:val="ListParagraph"/>
        <w:numPr>
          <w:ilvl w:val="0"/>
          <w:numId w:val="9"/>
        </w:numPr>
        <w:autoSpaceDE w:val="0"/>
        <w:autoSpaceDN w:val="0"/>
        <w:adjustRightInd w:val="0"/>
        <w:spacing w:after="0" w:line="240" w:lineRule="auto"/>
        <w:rPr>
          <w:rFonts w:ascii="Times New Roman" w:hAnsi="Times New Roman"/>
          <w:sz w:val="24"/>
          <w:szCs w:val="24"/>
          <w:highlight w:val="yellow"/>
          <w:lang w:val="es-PR" w:eastAsia="es-PR"/>
        </w:rPr>
      </w:pPr>
      <w:r w:rsidRPr="00A3047C">
        <w:rPr>
          <w:rFonts w:ascii="Times New Roman" w:hAnsi="Times New Roman"/>
          <w:sz w:val="24"/>
          <w:szCs w:val="24"/>
          <w:highlight w:val="yellow"/>
          <w:lang w:val="es-PR" w:eastAsia="es-PR"/>
        </w:rPr>
        <w:t>Si la propiedad mueble tangible fue introducida a Puerto Rico en virtud de un contrato efectuado entre un vendedor extranjero y el comprador importador antes del 1 de julio de 2015, el importador podrá solicitar un reintegro por el impuesto sobre uso pagado correspondiente a cuatro punto cinco (4.5) por ciento del total de la tasa de diez punto cinco (10.5) por ciento.</w:t>
      </w:r>
    </w:p>
    <w:p w:rsidR="00805E16" w:rsidRPr="00A3047C" w:rsidRDefault="00AE2A75" w:rsidP="00805E16">
      <w:pPr>
        <w:pStyle w:val="ListParagraph"/>
        <w:numPr>
          <w:ilvl w:val="0"/>
          <w:numId w:val="29"/>
        </w:numPr>
        <w:autoSpaceDE w:val="0"/>
        <w:autoSpaceDN w:val="0"/>
        <w:adjustRightInd w:val="0"/>
        <w:spacing w:after="0" w:line="240" w:lineRule="auto"/>
        <w:rPr>
          <w:rFonts w:ascii="Times New Roman" w:hAnsi="Times New Roman"/>
          <w:b/>
          <w:sz w:val="24"/>
          <w:szCs w:val="24"/>
          <w:highlight w:val="yellow"/>
          <w:lang w:val="es-PR" w:eastAsia="es-PR"/>
        </w:rPr>
      </w:pPr>
      <w:r w:rsidRPr="00A3047C">
        <w:rPr>
          <w:rFonts w:ascii="Times New Roman" w:hAnsi="Times New Roman"/>
          <w:b/>
          <w:sz w:val="24"/>
          <w:szCs w:val="24"/>
          <w:highlight w:val="yellow"/>
          <w:lang w:val="es-PR" w:eastAsia="es-PR"/>
        </w:rPr>
        <w:t>Si una persona no residente, no está inscrita en el registro de comerciantes y presta servicios a un residente de PR, ¿cobrara el IVU?</w:t>
      </w:r>
    </w:p>
    <w:p w:rsidR="00AE2A75" w:rsidRPr="00A3047C" w:rsidRDefault="00AE2A75" w:rsidP="00AE2A75">
      <w:pPr>
        <w:pStyle w:val="ListParagraph"/>
        <w:numPr>
          <w:ilvl w:val="0"/>
          <w:numId w:val="9"/>
        </w:numPr>
        <w:autoSpaceDE w:val="0"/>
        <w:autoSpaceDN w:val="0"/>
        <w:adjustRightInd w:val="0"/>
        <w:spacing w:after="0" w:line="240" w:lineRule="auto"/>
        <w:rPr>
          <w:rFonts w:ascii="Times New Roman" w:hAnsi="Times New Roman"/>
          <w:sz w:val="24"/>
          <w:szCs w:val="24"/>
          <w:highlight w:val="yellow"/>
          <w:lang w:val="es-PR" w:eastAsia="es-PR"/>
        </w:rPr>
      </w:pPr>
      <w:r w:rsidRPr="00A3047C">
        <w:rPr>
          <w:rFonts w:ascii="Times New Roman" w:hAnsi="Times New Roman"/>
          <w:sz w:val="24"/>
          <w:szCs w:val="24"/>
          <w:highlight w:val="yellow"/>
          <w:lang w:val="es-PR" w:eastAsia="es-PR"/>
        </w:rPr>
        <w:t>No le cobrará el IVU, pero es responsabilidad del residente de Puerto Rico remitir el IVU del 10.5%  directamente al Departamento de Hacienda y lo que corresponde al municipio.</w:t>
      </w:r>
    </w:p>
    <w:p w:rsidR="00725272" w:rsidRPr="00A3047C" w:rsidRDefault="00725272" w:rsidP="00AE2A75">
      <w:pPr>
        <w:pStyle w:val="ListParagraph"/>
        <w:numPr>
          <w:ilvl w:val="0"/>
          <w:numId w:val="29"/>
        </w:numPr>
        <w:autoSpaceDE w:val="0"/>
        <w:autoSpaceDN w:val="0"/>
        <w:adjustRightInd w:val="0"/>
        <w:spacing w:after="0" w:line="240" w:lineRule="auto"/>
        <w:rPr>
          <w:rFonts w:ascii="Times New Roman" w:hAnsi="Times New Roman"/>
          <w:sz w:val="24"/>
          <w:szCs w:val="24"/>
          <w:highlight w:val="yellow"/>
          <w:lang w:val="es-PR" w:eastAsia="es-PR"/>
        </w:rPr>
      </w:pPr>
      <w:r w:rsidRPr="00A3047C">
        <w:rPr>
          <w:rFonts w:ascii="Times New Roman" w:hAnsi="Times New Roman"/>
          <w:b/>
          <w:bCs/>
          <w:sz w:val="24"/>
          <w:szCs w:val="24"/>
          <w:highlight w:val="yellow"/>
          <w:lang w:val="es-PR" w:eastAsia="es-PR"/>
        </w:rPr>
        <w:t xml:space="preserve">¿Cómo puedo saber si mi contrato de construcción puede ser un contrato calificado? </w:t>
      </w:r>
    </w:p>
    <w:p w:rsidR="00725272" w:rsidRPr="00A3047C" w:rsidRDefault="00725272" w:rsidP="00AE2A75">
      <w:pPr>
        <w:pStyle w:val="ListParagraph"/>
        <w:numPr>
          <w:ilvl w:val="0"/>
          <w:numId w:val="9"/>
        </w:numPr>
        <w:autoSpaceDE w:val="0"/>
        <w:autoSpaceDN w:val="0"/>
        <w:adjustRightInd w:val="0"/>
        <w:spacing w:after="0" w:line="240" w:lineRule="auto"/>
        <w:rPr>
          <w:rFonts w:ascii="Times New Roman" w:hAnsi="Times New Roman"/>
          <w:sz w:val="24"/>
          <w:szCs w:val="24"/>
          <w:highlight w:val="yellow"/>
          <w:lang w:val="es-PR" w:eastAsia="es-PR"/>
        </w:rPr>
      </w:pPr>
      <w:r w:rsidRPr="00A3047C">
        <w:rPr>
          <w:rFonts w:ascii="Times New Roman" w:hAnsi="Times New Roman"/>
          <w:sz w:val="24"/>
          <w:szCs w:val="24"/>
          <w:highlight w:val="yellow"/>
          <w:lang w:val="es-PR" w:eastAsia="es-PR"/>
        </w:rPr>
        <w:t xml:space="preserve">Deberá verificar en la CC PC 15-10, los requisitos para ser un contrato calificado. </w:t>
      </w:r>
    </w:p>
    <w:p w:rsidR="00725272" w:rsidRPr="00A3047C" w:rsidRDefault="00725272" w:rsidP="00725272">
      <w:pPr>
        <w:pStyle w:val="ListParagraph"/>
        <w:numPr>
          <w:ilvl w:val="0"/>
          <w:numId w:val="29"/>
        </w:numPr>
        <w:autoSpaceDE w:val="0"/>
        <w:autoSpaceDN w:val="0"/>
        <w:adjustRightInd w:val="0"/>
        <w:spacing w:after="0" w:line="240" w:lineRule="auto"/>
        <w:rPr>
          <w:rFonts w:ascii="Times New Roman" w:hAnsi="Times New Roman"/>
          <w:sz w:val="24"/>
          <w:szCs w:val="24"/>
          <w:highlight w:val="yellow"/>
          <w:lang w:val="es-PR" w:eastAsia="es-PR"/>
        </w:rPr>
      </w:pPr>
      <w:r w:rsidRPr="00A3047C">
        <w:rPr>
          <w:rFonts w:ascii="Times New Roman" w:hAnsi="Times New Roman"/>
          <w:b/>
          <w:bCs/>
          <w:sz w:val="24"/>
          <w:szCs w:val="24"/>
          <w:highlight w:val="yellow"/>
          <w:lang w:val="es-PR" w:eastAsia="es-PR"/>
        </w:rPr>
        <w:t xml:space="preserve">Qué es un contrato calificado? </w:t>
      </w:r>
    </w:p>
    <w:p w:rsidR="0051346E" w:rsidRPr="00A3047C" w:rsidRDefault="00725272" w:rsidP="00725272">
      <w:pPr>
        <w:pStyle w:val="ListParagraph"/>
        <w:numPr>
          <w:ilvl w:val="0"/>
          <w:numId w:val="9"/>
        </w:numPr>
        <w:autoSpaceDE w:val="0"/>
        <w:autoSpaceDN w:val="0"/>
        <w:adjustRightInd w:val="0"/>
        <w:spacing w:after="0" w:line="240" w:lineRule="auto"/>
        <w:rPr>
          <w:rFonts w:ascii="Times New Roman" w:hAnsi="Times New Roman"/>
          <w:sz w:val="24"/>
          <w:szCs w:val="24"/>
          <w:highlight w:val="yellow"/>
          <w:lang w:val="es-PR" w:eastAsia="es-PR"/>
        </w:rPr>
      </w:pPr>
      <w:r w:rsidRPr="00A3047C">
        <w:rPr>
          <w:rFonts w:ascii="Times New Roman" w:hAnsi="Times New Roman"/>
          <w:sz w:val="24"/>
          <w:szCs w:val="24"/>
          <w:highlight w:val="yellow"/>
          <w:lang w:val="es-PR" w:eastAsia="es-PR"/>
        </w:rPr>
        <w:t xml:space="preserve">Un contrato calificado </w:t>
      </w:r>
      <w:r w:rsidR="0051346E" w:rsidRPr="00A3047C">
        <w:rPr>
          <w:rFonts w:ascii="Times New Roman" w:hAnsi="Times New Roman"/>
          <w:sz w:val="24"/>
          <w:szCs w:val="24"/>
          <w:highlight w:val="yellow"/>
          <w:lang w:val="es-PR" w:eastAsia="es-PR"/>
        </w:rPr>
        <w:t>es un documento</w:t>
      </w:r>
      <w:r w:rsidRPr="00A3047C">
        <w:rPr>
          <w:rFonts w:ascii="Times New Roman" w:hAnsi="Times New Roman"/>
          <w:sz w:val="24"/>
          <w:szCs w:val="24"/>
          <w:highlight w:val="yellow"/>
          <w:lang w:val="es-PR" w:eastAsia="es-PR"/>
        </w:rPr>
        <w:t xml:space="preserve"> escrito otorgado en o antes del 30 de junio de 2015 para la venta de propiedad mueble tangible, para la venta de servicios tributables que sean pagados en su totalidad antes del 30 de junio de 2015 y la venta de propiedad mueble tangible de contratos suscritos en virtud de una subasta adjudicada en o antes del 30 de junio de 2015. </w:t>
      </w:r>
    </w:p>
    <w:p w:rsidR="00725272" w:rsidRPr="00A3047C" w:rsidRDefault="0051346E" w:rsidP="0051346E">
      <w:pPr>
        <w:pStyle w:val="ListParagraph"/>
        <w:numPr>
          <w:ilvl w:val="0"/>
          <w:numId w:val="29"/>
        </w:numPr>
        <w:autoSpaceDE w:val="0"/>
        <w:autoSpaceDN w:val="0"/>
        <w:adjustRightInd w:val="0"/>
        <w:spacing w:after="0" w:line="240" w:lineRule="auto"/>
        <w:rPr>
          <w:rFonts w:ascii="Times New Roman" w:hAnsi="Times New Roman"/>
          <w:sz w:val="24"/>
          <w:szCs w:val="24"/>
          <w:highlight w:val="yellow"/>
          <w:lang w:val="es-PR" w:eastAsia="es-PR"/>
        </w:rPr>
      </w:pPr>
      <w:r w:rsidRPr="00A3047C">
        <w:rPr>
          <w:rFonts w:ascii="Times New Roman" w:hAnsi="Times New Roman"/>
          <w:b/>
          <w:bCs/>
          <w:sz w:val="24"/>
          <w:szCs w:val="24"/>
          <w:highlight w:val="yellow"/>
          <w:lang w:val="es-PR" w:eastAsia="es-PR"/>
        </w:rPr>
        <w:t>¿Qué pasa luego del 30 de junio de 2015 con las devoluciones de mercancía que compré pagando el 7%?</w:t>
      </w:r>
    </w:p>
    <w:p w:rsidR="00725272" w:rsidRPr="00A3047C" w:rsidRDefault="0051346E" w:rsidP="0051346E">
      <w:pPr>
        <w:pStyle w:val="ListParagraph"/>
        <w:numPr>
          <w:ilvl w:val="0"/>
          <w:numId w:val="9"/>
        </w:numPr>
        <w:autoSpaceDE w:val="0"/>
        <w:autoSpaceDN w:val="0"/>
        <w:adjustRightInd w:val="0"/>
        <w:spacing w:after="0" w:line="240" w:lineRule="auto"/>
        <w:rPr>
          <w:rFonts w:ascii="Times New Roman" w:hAnsi="Times New Roman"/>
          <w:sz w:val="24"/>
          <w:szCs w:val="24"/>
          <w:highlight w:val="yellow"/>
          <w:lang w:val="es-PR" w:eastAsia="es-PR"/>
        </w:rPr>
      </w:pPr>
      <w:r w:rsidRPr="00A3047C">
        <w:rPr>
          <w:rFonts w:ascii="Times New Roman" w:hAnsi="Times New Roman"/>
          <w:sz w:val="24"/>
          <w:szCs w:val="24"/>
          <w:highlight w:val="yellow"/>
          <w:lang w:val="es-PR" w:eastAsia="es-PR"/>
        </w:rPr>
        <w:lastRenderedPageBreak/>
        <w:t>El comerciante que reciba devoluciones deberá reembolsar al cliente el IVU pagado en la compra. Si el IVU pagado en la compra corresponde al 7%, ya que la compra fue hecha antes del 1 de julio de 2015, el comerciante deberá devolver el 7% sin considerar si la devolución se hace luego del 30 de junio de 2015. El comerciante deberá incluir las devoluciones del IVU al 6% en su planilla de junio de 2015. Si el comerciante recibe la devolución luego de haber radicado la Planilla Mensual del IVU del mes de junio de 2015, entonces el comerciante deberá enmendar dicha planilla para considerar el IVU devuelto. El comerciante debe enmendar las veces que sean necesarias las Planilla Mensual de IVU.</w:t>
      </w:r>
    </w:p>
    <w:p w:rsidR="00725272" w:rsidRPr="00A3047C" w:rsidRDefault="00725272" w:rsidP="0051346E">
      <w:pPr>
        <w:pStyle w:val="ListParagraph"/>
        <w:numPr>
          <w:ilvl w:val="0"/>
          <w:numId w:val="29"/>
        </w:numPr>
        <w:autoSpaceDE w:val="0"/>
        <w:autoSpaceDN w:val="0"/>
        <w:adjustRightInd w:val="0"/>
        <w:spacing w:after="0" w:line="240" w:lineRule="auto"/>
        <w:rPr>
          <w:rFonts w:ascii="Times New Roman" w:hAnsi="Times New Roman"/>
          <w:sz w:val="24"/>
          <w:szCs w:val="24"/>
          <w:highlight w:val="yellow"/>
          <w:lang w:val="es-PR" w:eastAsia="es-PR"/>
        </w:rPr>
      </w:pPr>
      <w:r w:rsidRPr="00A3047C">
        <w:rPr>
          <w:rFonts w:ascii="Times New Roman" w:hAnsi="Times New Roman"/>
          <w:b/>
          <w:bCs/>
          <w:sz w:val="24"/>
          <w:szCs w:val="24"/>
          <w:highlight w:val="yellow"/>
          <w:lang w:val="es-PR" w:eastAsia="es-PR"/>
        </w:rPr>
        <w:t xml:space="preserve">¿Se podrá radicar electrónicamente la Planilla Mensual de Impuesto sobre Ventas y Uso – Modelo SC 2915 para el periodo de julio 2015 y meses posteriores? </w:t>
      </w:r>
    </w:p>
    <w:p w:rsidR="00725272" w:rsidRPr="00A3047C" w:rsidRDefault="00725272" w:rsidP="0051346E">
      <w:pPr>
        <w:pStyle w:val="ListParagraph"/>
        <w:numPr>
          <w:ilvl w:val="0"/>
          <w:numId w:val="9"/>
        </w:numPr>
        <w:autoSpaceDE w:val="0"/>
        <w:autoSpaceDN w:val="0"/>
        <w:adjustRightInd w:val="0"/>
        <w:spacing w:after="0" w:line="240" w:lineRule="auto"/>
        <w:rPr>
          <w:rFonts w:ascii="Times New Roman" w:hAnsi="Times New Roman"/>
          <w:sz w:val="24"/>
          <w:szCs w:val="24"/>
          <w:highlight w:val="yellow"/>
          <w:lang w:val="es-PR" w:eastAsia="es-PR"/>
        </w:rPr>
      </w:pPr>
      <w:r w:rsidRPr="00A3047C">
        <w:rPr>
          <w:rFonts w:ascii="Times New Roman" w:hAnsi="Times New Roman"/>
          <w:sz w:val="24"/>
          <w:szCs w:val="24"/>
          <w:highlight w:val="yellow"/>
          <w:lang w:val="es-PR" w:eastAsia="es-PR"/>
        </w:rPr>
        <w:t xml:space="preserve">Si, la planilla correspondiente al mes de julio de 2015 y meses posteriores, se podrá radicar electrónicamente desde el 1 de agosto de 2015, a través del Portal Integrado del Comerciante (“PICO”). </w:t>
      </w:r>
    </w:p>
    <w:p w:rsidR="0051346E" w:rsidRPr="00A3047C" w:rsidRDefault="00725272" w:rsidP="00725272">
      <w:pPr>
        <w:pStyle w:val="ListParagraph"/>
        <w:numPr>
          <w:ilvl w:val="0"/>
          <w:numId w:val="29"/>
        </w:numPr>
        <w:autoSpaceDE w:val="0"/>
        <w:autoSpaceDN w:val="0"/>
        <w:adjustRightInd w:val="0"/>
        <w:spacing w:after="0" w:line="240" w:lineRule="auto"/>
        <w:rPr>
          <w:rFonts w:ascii="Times New Roman" w:hAnsi="Times New Roman"/>
          <w:sz w:val="24"/>
          <w:szCs w:val="24"/>
          <w:highlight w:val="yellow"/>
          <w:lang w:val="es-PR" w:eastAsia="es-PR"/>
        </w:rPr>
      </w:pPr>
      <w:r w:rsidRPr="00A3047C">
        <w:rPr>
          <w:rFonts w:ascii="Times New Roman" w:hAnsi="Times New Roman"/>
          <w:b/>
          <w:sz w:val="24"/>
          <w:szCs w:val="24"/>
          <w:highlight w:val="yellow"/>
          <w:lang w:val="es-PR" w:eastAsia="es-PR"/>
        </w:rPr>
        <w:t>En el caso de Importadores Afianzados,</w:t>
      </w:r>
      <w:r w:rsidRPr="00A3047C">
        <w:rPr>
          <w:rFonts w:ascii="Times New Roman" w:hAnsi="Times New Roman"/>
          <w:sz w:val="24"/>
          <w:szCs w:val="24"/>
          <w:highlight w:val="yellow"/>
          <w:lang w:val="es-PR" w:eastAsia="es-PR"/>
        </w:rPr>
        <w:t xml:space="preserve"> </w:t>
      </w:r>
      <w:r w:rsidRPr="00A3047C">
        <w:rPr>
          <w:rFonts w:ascii="Times New Roman" w:hAnsi="Times New Roman"/>
          <w:b/>
          <w:bCs/>
          <w:sz w:val="24"/>
          <w:szCs w:val="24"/>
          <w:highlight w:val="yellow"/>
          <w:lang w:val="es-PR" w:eastAsia="es-PR"/>
        </w:rPr>
        <w:t xml:space="preserve">¿es compulsorio aumentar la fianza para contemplar el aumento del IVU de 6% a 10.5% en las importaciones que se efectúen a partir del 1 de julio de 2015? </w:t>
      </w:r>
    </w:p>
    <w:p w:rsidR="0051346E" w:rsidRPr="00A3047C" w:rsidRDefault="00725272" w:rsidP="00725272">
      <w:pPr>
        <w:pStyle w:val="ListParagraph"/>
        <w:numPr>
          <w:ilvl w:val="0"/>
          <w:numId w:val="9"/>
        </w:numPr>
        <w:autoSpaceDE w:val="0"/>
        <w:autoSpaceDN w:val="0"/>
        <w:adjustRightInd w:val="0"/>
        <w:spacing w:after="0" w:line="240" w:lineRule="auto"/>
        <w:rPr>
          <w:rFonts w:ascii="Times New Roman" w:hAnsi="Times New Roman"/>
          <w:sz w:val="24"/>
          <w:szCs w:val="24"/>
          <w:highlight w:val="yellow"/>
          <w:lang w:val="es-PR" w:eastAsia="es-PR"/>
        </w:rPr>
      </w:pPr>
      <w:r w:rsidRPr="00A3047C">
        <w:rPr>
          <w:rFonts w:ascii="Times New Roman" w:hAnsi="Times New Roman"/>
          <w:sz w:val="24"/>
          <w:szCs w:val="24"/>
          <w:highlight w:val="yellow"/>
          <w:lang w:val="es-PR" w:eastAsia="es-PR"/>
        </w:rPr>
        <w:t xml:space="preserve">No, el procedimiento de aumento de fianza es </w:t>
      </w:r>
      <w:r w:rsidRPr="00A3047C">
        <w:rPr>
          <w:rFonts w:ascii="Times New Roman" w:hAnsi="Times New Roman"/>
          <w:i/>
          <w:iCs/>
          <w:sz w:val="24"/>
          <w:szCs w:val="24"/>
          <w:highlight w:val="yellow"/>
          <w:lang w:val="es-PR" w:eastAsia="es-PR"/>
        </w:rPr>
        <w:t>voluntario</w:t>
      </w:r>
      <w:r w:rsidRPr="00A3047C">
        <w:rPr>
          <w:rFonts w:ascii="Times New Roman" w:hAnsi="Times New Roman"/>
          <w:sz w:val="24"/>
          <w:szCs w:val="24"/>
          <w:highlight w:val="yellow"/>
          <w:lang w:val="es-PR" w:eastAsia="es-PR"/>
        </w:rPr>
        <w:t>. No obstante, aquel Importador Afianzado cuya fianza no cubra sus importaciones estará obligado a desembolsar el pago del IVU sobre toda la propiedad mueble tangible declarada, previo a o</w:t>
      </w:r>
      <w:r w:rsidR="0051346E" w:rsidRPr="00A3047C">
        <w:rPr>
          <w:rFonts w:ascii="Times New Roman" w:hAnsi="Times New Roman"/>
          <w:sz w:val="24"/>
          <w:szCs w:val="24"/>
          <w:highlight w:val="yellow"/>
          <w:lang w:val="es-PR" w:eastAsia="es-PR"/>
        </w:rPr>
        <w:t>btener el levante de l</w:t>
      </w:r>
      <w:r w:rsidRPr="00A3047C">
        <w:rPr>
          <w:rFonts w:ascii="Times New Roman" w:hAnsi="Times New Roman"/>
          <w:sz w:val="24"/>
          <w:szCs w:val="24"/>
          <w:highlight w:val="yellow"/>
          <w:lang w:val="es-PR" w:eastAsia="es-PR"/>
        </w:rPr>
        <w:t xml:space="preserve">a mercancía importada. </w:t>
      </w:r>
    </w:p>
    <w:p w:rsidR="00725272" w:rsidRPr="00A3047C" w:rsidRDefault="00725272" w:rsidP="0051346E">
      <w:pPr>
        <w:pStyle w:val="ListParagraph"/>
        <w:numPr>
          <w:ilvl w:val="0"/>
          <w:numId w:val="29"/>
        </w:numPr>
        <w:autoSpaceDE w:val="0"/>
        <w:autoSpaceDN w:val="0"/>
        <w:adjustRightInd w:val="0"/>
        <w:spacing w:after="0" w:line="240" w:lineRule="auto"/>
        <w:rPr>
          <w:rFonts w:ascii="Times New Roman" w:hAnsi="Times New Roman"/>
          <w:sz w:val="24"/>
          <w:szCs w:val="24"/>
          <w:highlight w:val="yellow"/>
          <w:lang w:val="es-PR" w:eastAsia="es-PR"/>
        </w:rPr>
      </w:pPr>
      <w:r w:rsidRPr="00A3047C">
        <w:rPr>
          <w:rFonts w:ascii="Times New Roman" w:hAnsi="Times New Roman"/>
          <w:b/>
          <w:bCs/>
          <w:sz w:val="24"/>
          <w:szCs w:val="24"/>
          <w:highlight w:val="yellow"/>
          <w:lang w:val="es-PR" w:eastAsia="es-PR"/>
        </w:rPr>
        <w:t xml:space="preserve">Se elimina la exención del periodo libre de IVU por regreso a la escuela (“Back-to-School”) aplicable al mes de julio de 2015? </w:t>
      </w:r>
    </w:p>
    <w:p w:rsidR="0051346E" w:rsidRPr="00A3047C" w:rsidRDefault="00725272" w:rsidP="00725272">
      <w:pPr>
        <w:pStyle w:val="ListParagraph"/>
        <w:numPr>
          <w:ilvl w:val="0"/>
          <w:numId w:val="9"/>
        </w:numPr>
        <w:autoSpaceDE w:val="0"/>
        <w:autoSpaceDN w:val="0"/>
        <w:adjustRightInd w:val="0"/>
        <w:spacing w:after="0" w:line="240" w:lineRule="auto"/>
        <w:rPr>
          <w:rFonts w:ascii="Times New Roman" w:hAnsi="Times New Roman"/>
          <w:sz w:val="24"/>
          <w:szCs w:val="24"/>
          <w:highlight w:val="yellow"/>
          <w:lang w:val="es-PR" w:eastAsia="es-PR"/>
        </w:rPr>
      </w:pPr>
      <w:r w:rsidRPr="00A3047C">
        <w:rPr>
          <w:rFonts w:ascii="Times New Roman" w:hAnsi="Times New Roman"/>
          <w:sz w:val="24"/>
          <w:szCs w:val="24"/>
          <w:highlight w:val="yellow"/>
          <w:lang w:val="es-PR" w:eastAsia="es-PR"/>
        </w:rPr>
        <w:t xml:space="preserve">No. La exención del periodo libre de IVU por regreso a la escuela (“Back-to-School”) estará vigente para los días 17 y 18 de julio de 2015, de acuerdo con la Carta Circular de Política Contributiva Núm. 15-07 emitida por el Departamento de Hacienda el 1 de junio de 2015. </w:t>
      </w:r>
    </w:p>
    <w:p w:rsidR="00725272" w:rsidRPr="00A3047C" w:rsidRDefault="00725272" w:rsidP="0051346E">
      <w:pPr>
        <w:pStyle w:val="ListParagraph"/>
        <w:numPr>
          <w:ilvl w:val="0"/>
          <w:numId w:val="29"/>
        </w:numPr>
        <w:autoSpaceDE w:val="0"/>
        <w:autoSpaceDN w:val="0"/>
        <w:adjustRightInd w:val="0"/>
        <w:spacing w:after="0" w:line="240" w:lineRule="auto"/>
        <w:rPr>
          <w:rFonts w:ascii="Times New Roman" w:hAnsi="Times New Roman"/>
          <w:sz w:val="24"/>
          <w:szCs w:val="24"/>
          <w:highlight w:val="yellow"/>
          <w:lang w:val="es-PR" w:eastAsia="es-PR"/>
        </w:rPr>
      </w:pPr>
      <w:r w:rsidRPr="00A3047C">
        <w:rPr>
          <w:rFonts w:ascii="Times New Roman" w:hAnsi="Times New Roman"/>
          <w:b/>
          <w:bCs/>
          <w:sz w:val="24"/>
          <w:szCs w:val="24"/>
          <w:highlight w:val="yellow"/>
          <w:lang w:val="es-PR" w:eastAsia="es-PR"/>
        </w:rPr>
        <w:t xml:space="preserve">¿Se pagará a través de PICO el 4% sobre los servicios entre comerciantes y los servicios profesionales designados? </w:t>
      </w:r>
    </w:p>
    <w:p w:rsidR="00725272" w:rsidRPr="00A3047C" w:rsidRDefault="00725272" w:rsidP="0051346E">
      <w:pPr>
        <w:pStyle w:val="ListParagraph"/>
        <w:numPr>
          <w:ilvl w:val="0"/>
          <w:numId w:val="9"/>
        </w:numPr>
        <w:autoSpaceDE w:val="0"/>
        <w:autoSpaceDN w:val="0"/>
        <w:adjustRightInd w:val="0"/>
        <w:spacing w:after="0" w:line="240" w:lineRule="auto"/>
        <w:rPr>
          <w:rFonts w:ascii="Times New Roman" w:hAnsi="Times New Roman"/>
          <w:sz w:val="24"/>
          <w:szCs w:val="24"/>
          <w:highlight w:val="yellow"/>
          <w:lang w:val="es-PR" w:eastAsia="es-PR"/>
        </w:rPr>
      </w:pPr>
      <w:r w:rsidRPr="00A3047C">
        <w:rPr>
          <w:rFonts w:ascii="Times New Roman" w:hAnsi="Times New Roman"/>
          <w:sz w:val="24"/>
          <w:szCs w:val="24"/>
          <w:highlight w:val="yellow"/>
          <w:lang w:val="es-PR" w:eastAsia="es-PR"/>
        </w:rPr>
        <w:t xml:space="preserve">Sí. Para la Planilla Mensual de IVU del mes de octubre de 2015 estará disponible una planilla aparte para pagar esta contribución. </w:t>
      </w:r>
    </w:p>
    <w:p w:rsidR="00725272" w:rsidRPr="00A3047C" w:rsidRDefault="00725272" w:rsidP="0051346E">
      <w:pPr>
        <w:pStyle w:val="ListParagraph"/>
        <w:numPr>
          <w:ilvl w:val="0"/>
          <w:numId w:val="29"/>
        </w:numPr>
        <w:autoSpaceDE w:val="0"/>
        <w:autoSpaceDN w:val="0"/>
        <w:adjustRightInd w:val="0"/>
        <w:spacing w:after="0" w:line="240" w:lineRule="auto"/>
        <w:rPr>
          <w:rFonts w:ascii="Times New Roman" w:hAnsi="Times New Roman"/>
          <w:sz w:val="24"/>
          <w:szCs w:val="24"/>
          <w:highlight w:val="yellow"/>
          <w:lang w:val="es-PR" w:eastAsia="es-PR"/>
        </w:rPr>
      </w:pPr>
      <w:r w:rsidRPr="00A3047C">
        <w:rPr>
          <w:rFonts w:ascii="Times New Roman" w:hAnsi="Times New Roman"/>
          <w:b/>
          <w:bCs/>
          <w:sz w:val="24"/>
          <w:szCs w:val="24"/>
          <w:highlight w:val="yellow"/>
          <w:lang w:val="es-PR" w:eastAsia="es-PR"/>
        </w:rPr>
        <w:t xml:space="preserve">¿Le aplicará el IVU municipal a los servicios que están sujetos a la tasa del 4%? </w:t>
      </w:r>
    </w:p>
    <w:p w:rsidR="00725272" w:rsidRPr="00A3047C" w:rsidRDefault="00725272" w:rsidP="0051346E">
      <w:pPr>
        <w:pStyle w:val="ListParagraph"/>
        <w:numPr>
          <w:ilvl w:val="0"/>
          <w:numId w:val="9"/>
        </w:numPr>
        <w:autoSpaceDE w:val="0"/>
        <w:autoSpaceDN w:val="0"/>
        <w:adjustRightInd w:val="0"/>
        <w:spacing w:after="0" w:line="240" w:lineRule="auto"/>
        <w:rPr>
          <w:rFonts w:ascii="Times New Roman" w:hAnsi="Times New Roman"/>
          <w:sz w:val="24"/>
          <w:szCs w:val="24"/>
          <w:highlight w:val="yellow"/>
          <w:lang w:val="es-PR" w:eastAsia="es-PR"/>
        </w:rPr>
      </w:pPr>
      <w:r w:rsidRPr="00A3047C">
        <w:rPr>
          <w:rFonts w:ascii="Times New Roman" w:hAnsi="Times New Roman"/>
          <w:sz w:val="24"/>
          <w:szCs w:val="24"/>
          <w:highlight w:val="yellow"/>
          <w:lang w:val="es-PR" w:eastAsia="es-PR"/>
        </w:rPr>
        <w:t xml:space="preserve">No. Los servicios entre negocios y los servicios profesionales designados que estén sujetos al IVU comenzado el 1 de octubre de 2015 no estarán sujetos al IVU municipal. </w:t>
      </w:r>
    </w:p>
    <w:p w:rsidR="00725272" w:rsidRPr="00A3047C" w:rsidRDefault="00725272" w:rsidP="0051346E">
      <w:pPr>
        <w:pStyle w:val="ListParagraph"/>
        <w:numPr>
          <w:ilvl w:val="0"/>
          <w:numId w:val="29"/>
        </w:numPr>
        <w:autoSpaceDE w:val="0"/>
        <w:autoSpaceDN w:val="0"/>
        <w:adjustRightInd w:val="0"/>
        <w:spacing w:after="0" w:line="240" w:lineRule="auto"/>
        <w:rPr>
          <w:rFonts w:ascii="Times New Roman" w:hAnsi="Times New Roman"/>
          <w:sz w:val="24"/>
          <w:szCs w:val="24"/>
          <w:highlight w:val="yellow"/>
          <w:lang w:val="es-PR" w:eastAsia="es-PR"/>
        </w:rPr>
      </w:pPr>
      <w:r w:rsidRPr="00A3047C">
        <w:rPr>
          <w:rFonts w:ascii="Times New Roman" w:hAnsi="Times New Roman"/>
          <w:b/>
          <w:bCs/>
          <w:sz w:val="24"/>
          <w:szCs w:val="24"/>
          <w:highlight w:val="yellow"/>
          <w:lang w:val="es-PR" w:eastAsia="es-PR"/>
        </w:rPr>
        <w:t xml:space="preserve">¿Puedo tomar un crédito en mi Planilla Mensual del IVU por el IVU pagado al 4%? </w:t>
      </w:r>
    </w:p>
    <w:p w:rsidR="00725272" w:rsidRPr="00A3047C" w:rsidRDefault="00500ED6" w:rsidP="00500ED6">
      <w:pPr>
        <w:pStyle w:val="ListParagraph"/>
        <w:numPr>
          <w:ilvl w:val="0"/>
          <w:numId w:val="9"/>
        </w:numPr>
        <w:autoSpaceDE w:val="0"/>
        <w:autoSpaceDN w:val="0"/>
        <w:adjustRightInd w:val="0"/>
        <w:spacing w:after="0" w:line="240" w:lineRule="auto"/>
        <w:rPr>
          <w:rFonts w:ascii="Times New Roman" w:hAnsi="Times New Roman"/>
          <w:sz w:val="24"/>
          <w:szCs w:val="24"/>
          <w:highlight w:val="yellow"/>
          <w:lang w:val="es-PR" w:eastAsia="es-PR"/>
        </w:rPr>
      </w:pPr>
      <w:r w:rsidRPr="00A3047C">
        <w:rPr>
          <w:rFonts w:ascii="Times New Roman" w:hAnsi="Times New Roman"/>
          <w:sz w:val="24"/>
          <w:szCs w:val="24"/>
          <w:highlight w:val="yellow"/>
          <w:lang w:val="es-PR" w:eastAsia="es-PR"/>
        </w:rPr>
        <w:t xml:space="preserve">No. El IVU pagado al 4% no es pagado sobre una partida </w:t>
      </w:r>
      <w:r w:rsidR="00131054" w:rsidRPr="00A3047C">
        <w:rPr>
          <w:rFonts w:ascii="Times New Roman" w:hAnsi="Times New Roman"/>
          <w:sz w:val="24"/>
          <w:szCs w:val="24"/>
          <w:highlight w:val="yellow"/>
          <w:lang w:val="es-PR" w:eastAsia="es-PR"/>
        </w:rPr>
        <w:t>tributable para la reventa. Por lo que no es acreditable el IVU pagado al 4%.</w:t>
      </w:r>
    </w:p>
    <w:p w:rsidR="00131054" w:rsidRPr="00A3047C" w:rsidRDefault="00131054" w:rsidP="00131054">
      <w:pPr>
        <w:pStyle w:val="ListParagraph"/>
        <w:numPr>
          <w:ilvl w:val="0"/>
          <w:numId w:val="29"/>
        </w:numPr>
        <w:autoSpaceDE w:val="0"/>
        <w:autoSpaceDN w:val="0"/>
        <w:adjustRightInd w:val="0"/>
        <w:spacing w:after="0" w:line="240" w:lineRule="auto"/>
        <w:rPr>
          <w:rFonts w:ascii="Times New Roman" w:hAnsi="Times New Roman"/>
          <w:b/>
          <w:sz w:val="24"/>
          <w:szCs w:val="24"/>
          <w:highlight w:val="yellow"/>
          <w:lang w:val="es-PR" w:eastAsia="es-PR"/>
        </w:rPr>
      </w:pPr>
      <w:r w:rsidRPr="00A3047C">
        <w:rPr>
          <w:rFonts w:ascii="Times New Roman" w:hAnsi="Times New Roman"/>
          <w:b/>
          <w:sz w:val="24"/>
          <w:szCs w:val="24"/>
          <w:highlight w:val="yellow"/>
          <w:lang w:val="es-PR" w:eastAsia="es-PR"/>
        </w:rPr>
        <w:lastRenderedPageBreak/>
        <w:t>Si recibo servicios tributables o servicios sujetos al 4% de una persona no residente de Puerto Rico, ¿tengo que pagar el IVU por dichos servicios?</w:t>
      </w:r>
    </w:p>
    <w:p w:rsidR="009A2A5D" w:rsidRPr="00A3047C" w:rsidRDefault="00131054" w:rsidP="009A2A5D">
      <w:pPr>
        <w:pStyle w:val="ListParagraph"/>
        <w:numPr>
          <w:ilvl w:val="0"/>
          <w:numId w:val="9"/>
        </w:numPr>
        <w:autoSpaceDE w:val="0"/>
        <w:autoSpaceDN w:val="0"/>
        <w:adjustRightInd w:val="0"/>
        <w:spacing w:after="0" w:line="240" w:lineRule="auto"/>
        <w:rPr>
          <w:rFonts w:ascii="Times New Roman" w:hAnsi="Times New Roman"/>
          <w:sz w:val="24"/>
          <w:szCs w:val="24"/>
          <w:highlight w:val="yellow"/>
          <w:lang w:val="es-PR" w:eastAsia="es-PR"/>
        </w:rPr>
      </w:pPr>
      <w:r w:rsidRPr="00A3047C">
        <w:rPr>
          <w:rFonts w:ascii="Times New Roman" w:hAnsi="Times New Roman"/>
          <w:sz w:val="24"/>
          <w:szCs w:val="24"/>
          <w:highlight w:val="yellow"/>
          <w:lang w:val="es-PR" w:eastAsia="es-PR"/>
        </w:rPr>
        <w:t>Si. Comenzando el 1 de octubre de 2015, si un comerciante recibe servicios tributables (sujetos al IVU a la tasa del 11.5%) o servicios sujetos a la tasa del 4%.</w:t>
      </w:r>
    </w:p>
    <w:p w:rsidR="00067BC6" w:rsidRPr="00067BC6" w:rsidRDefault="00067BC6" w:rsidP="00067BC6">
      <w:pPr>
        <w:spacing w:after="0" w:line="240" w:lineRule="auto"/>
        <w:jc w:val="both"/>
        <w:rPr>
          <w:rFonts w:ascii="Times New Roman" w:hAnsi="Times New Roman"/>
          <w:b/>
          <w:i/>
          <w:sz w:val="24"/>
          <w:u w:val="single"/>
          <w:lang w:val="es-ES"/>
        </w:rPr>
      </w:pPr>
      <w:r w:rsidRPr="00067BC6">
        <w:rPr>
          <w:rFonts w:ascii="Times New Roman" w:hAnsi="Times New Roman"/>
          <w:b/>
          <w:i/>
          <w:sz w:val="24"/>
          <w:u w:val="single"/>
          <w:lang w:val="es-ES"/>
        </w:rPr>
        <w:t>Comenzando el 1 de octubre de 2015</w:t>
      </w:r>
    </w:p>
    <w:p w:rsidR="00297138" w:rsidRPr="00D96A9D" w:rsidRDefault="00297138" w:rsidP="007F1A8F">
      <w:pPr>
        <w:pStyle w:val="ListParagraph"/>
        <w:numPr>
          <w:ilvl w:val="0"/>
          <w:numId w:val="18"/>
        </w:numPr>
        <w:spacing w:after="0" w:line="240" w:lineRule="auto"/>
        <w:jc w:val="both"/>
        <w:rPr>
          <w:rFonts w:ascii="Arial" w:hAnsi="Arial" w:cs="Arial"/>
          <w:lang w:val="es-ES"/>
        </w:rPr>
      </w:pPr>
      <w:r w:rsidRPr="00D96A9D">
        <w:rPr>
          <w:rFonts w:ascii="Times New Roman" w:hAnsi="Times New Roman"/>
          <w:b/>
          <w:sz w:val="24"/>
          <w:lang w:val="es-ES"/>
        </w:rPr>
        <w:t>¿Qué cambios al IVU son efectivos al 1 de octubre de 2015?</w:t>
      </w:r>
    </w:p>
    <w:p w:rsidR="001C6FB1" w:rsidRPr="001C6FB1" w:rsidRDefault="001C6FB1" w:rsidP="001C6FB1">
      <w:pPr>
        <w:pStyle w:val="ListParagraph"/>
        <w:spacing w:after="0" w:line="240" w:lineRule="auto"/>
        <w:jc w:val="both"/>
        <w:rPr>
          <w:rFonts w:ascii="Arial" w:hAnsi="Arial" w:cs="Arial"/>
          <w:lang w:val="es-ES"/>
        </w:rPr>
      </w:pPr>
    </w:p>
    <w:p w:rsidR="00297138" w:rsidRPr="00BA4586" w:rsidRDefault="001C6FB1" w:rsidP="00BA4586">
      <w:pPr>
        <w:pStyle w:val="ListParagraph"/>
        <w:spacing w:after="0" w:line="240" w:lineRule="auto"/>
        <w:jc w:val="both"/>
        <w:rPr>
          <w:rFonts w:ascii="Arial" w:hAnsi="Arial" w:cs="Arial"/>
          <w:lang w:val="es-ES"/>
        </w:rPr>
      </w:pPr>
      <w:r>
        <w:rPr>
          <w:rFonts w:ascii="Arial" w:hAnsi="Arial" w:cs="Arial"/>
          <w:noProof/>
        </w:rPr>
        <w:drawing>
          <wp:inline distT="0" distB="0" distL="0" distR="0">
            <wp:extent cx="5391150" cy="2943225"/>
            <wp:effectExtent l="76200" t="0" r="95250" b="285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2A644F" w:rsidRPr="00072930" w:rsidRDefault="00297138" w:rsidP="00072930">
      <w:pPr>
        <w:pStyle w:val="ListParagraph"/>
        <w:numPr>
          <w:ilvl w:val="0"/>
          <w:numId w:val="19"/>
        </w:numPr>
        <w:spacing w:line="240" w:lineRule="auto"/>
        <w:jc w:val="both"/>
        <w:rPr>
          <w:rFonts w:ascii="Times New Roman" w:hAnsi="Times New Roman"/>
          <w:b/>
          <w:sz w:val="24"/>
          <w:lang w:val="es-ES"/>
        </w:rPr>
      </w:pPr>
      <w:r w:rsidRPr="00D96A9D">
        <w:rPr>
          <w:rFonts w:ascii="Times New Roman" w:hAnsi="Times New Roman"/>
          <w:b/>
          <w:sz w:val="24"/>
          <w:lang w:val="es-ES"/>
        </w:rPr>
        <w:t>¿Cuáles son los Servicios Profesionales Designados que pagarán el 4% al 1 de octubre de 2015?</w:t>
      </w:r>
    </w:p>
    <w:tbl>
      <w:tblPr>
        <w:tblStyle w:val="MediumGrid1-Accent5"/>
        <w:tblW w:w="0" w:type="auto"/>
        <w:tblInd w:w="468" w:type="dxa"/>
        <w:tblLook w:val="04A0"/>
      </w:tblPr>
      <w:tblGrid>
        <w:gridCol w:w="2724"/>
        <w:gridCol w:w="3192"/>
        <w:gridCol w:w="3192"/>
      </w:tblGrid>
      <w:tr w:rsidR="00902A9B" w:rsidRPr="007377CD" w:rsidTr="001B0C51">
        <w:trPr>
          <w:cnfStyle w:val="100000000000"/>
          <w:trHeight w:val="714"/>
        </w:trPr>
        <w:tc>
          <w:tcPr>
            <w:cnfStyle w:val="001000000000"/>
            <w:tcW w:w="9108" w:type="dxa"/>
            <w:gridSpan w:val="3"/>
            <w:shd w:val="clear" w:color="auto" w:fill="548DD4" w:themeFill="text2" w:themeFillTint="99"/>
          </w:tcPr>
          <w:p w:rsidR="00902A9B" w:rsidRPr="00902A9B" w:rsidRDefault="00902A9B" w:rsidP="00902A9B">
            <w:pPr>
              <w:spacing w:line="240" w:lineRule="auto"/>
              <w:jc w:val="center"/>
              <w:rPr>
                <w:rFonts w:ascii="Times New Roman" w:hAnsi="Times New Roman"/>
                <w:i/>
                <w:sz w:val="24"/>
                <w:lang w:val="es-ES"/>
              </w:rPr>
            </w:pPr>
            <w:r w:rsidRPr="00902A9B">
              <w:rPr>
                <w:rFonts w:ascii="Times New Roman" w:hAnsi="Times New Roman"/>
                <w:i/>
                <w:sz w:val="28"/>
                <w:lang w:val="es-ES"/>
              </w:rPr>
              <w:t xml:space="preserve">Servicios Profesionales Designados que pagarán el 4% de IVU a la tasa del 4% a partir del 1 de octubre de 2015 </w:t>
            </w:r>
          </w:p>
        </w:tc>
      </w:tr>
      <w:tr w:rsidR="00902A9B" w:rsidRPr="007377CD" w:rsidTr="001B0C51">
        <w:trPr>
          <w:cnfStyle w:val="000000100000"/>
          <w:trHeight w:val="381"/>
        </w:trPr>
        <w:tc>
          <w:tcPr>
            <w:cnfStyle w:val="001000000000"/>
            <w:tcW w:w="2724" w:type="dxa"/>
          </w:tcPr>
          <w:p w:rsidR="00902A9B" w:rsidRPr="00902A9B" w:rsidRDefault="00902A9B" w:rsidP="007F1A8F">
            <w:pPr>
              <w:pStyle w:val="ListParagraph"/>
              <w:numPr>
                <w:ilvl w:val="0"/>
                <w:numId w:val="4"/>
              </w:numPr>
              <w:spacing w:line="240" w:lineRule="auto"/>
              <w:rPr>
                <w:rFonts w:ascii="Times New Roman" w:hAnsi="Times New Roman"/>
                <w:b w:val="0"/>
                <w:sz w:val="24"/>
                <w:lang w:val="es-ES"/>
              </w:rPr>
            </w:pPr>
            <w:r w:rsidRPr="00902A9B">
              <w:rPr>
                <w:rFonts w:ascii="Times New Roman" w:hAnsi="Times New Roman"/>
                <w:b w:val="0"/>
                <w:sz w:val="24"/>
                <w:lang w:val="es-ES"/>
              </w:rPr>
              <w:t>Algunos servicios legales</w:t>
            </w:r>
          </w:p>
        </w:tc>
        <w:tc>
          <w:tcPr>
            <w:tcW w:w="3192" w:type="dxa"/>
          </w:tcPr>
          <w:p w:rsidR="00902A9B" w:rsidRPr="00902A9B" w:rsidRDefault="00902A9B" w:rsidP="007F1A8F">
            <w:pPr>
              <w:pStyle w:val="ListParagraph"/>
              <w:numPr>
                <w:ilvl w:val="0"/>
                <w:numId w:val="3"/>
              </w:numPr>
              <w:spacing w:line="240" w:lineRule="auto"/>
              <w:cnfStyle w:val="000000100000"/>
              <w:rPr>
                <w:rFonts w:ascii="Times New Roman" w:hAnsi="Times New Roman"/>
                <w:b/>
                <w:sz w:val="24"/>
                <w:lang w:val="es-ES"/>
              </w:rPr>
            </w:pPr>
            <w:r w:rsidRPr="00902A9B">
              <w:rPr>
                <w:rFonts w:ascii="Times New Roman" w:hAnsi="Times New Roman"/>
                <w:sz w:val="24"/>
                <w:lang w:val="es-ES"/>
              </w:rPr>
              <w:t>Contadores Públicos Autorizados</w:t>
            </w:r>
          </w:p>
        </w:tc>
        <w:tc>
          <w:tcPr>
            <w:tcW w:w="3192" w:type="dxa"/>
          </w:tcPr>
          <w:p w:rsidR="00902A9B" w:rsidRPr="001B0C51" w:rsidRDefault="001B0C51" w:rsidP="001B0C51">
            <w:pPr>
              <w:spacing w:line="240" w:lineRule="auto"/>
              <w:cnfStyle w:val="000000100000"/>
              <w:rPr>
                <w:rFonts w:ascii="Times New Roman" w:hAnsi="Times New Roman"/>
                <w:sz w:val="24"/>
                <w:lang w:val="es-ES"/>
              </w:rPr>
            </w:pPr>
            <w:r w:rsidRPr="001B0C51">
              <w:rPr>
                <w:rFonts w:ascii="Times New Roman" w:hAnsi="Times New Roman"/>
                <w:sz w:val="24"/>
                <w:lang w:val="es-ES"/>
              </w:rPr>
              <w:t>7</w:t>
            </w:r>
            <w:r w:rsidRPr="001B0C51">
              <w:rPr>
                <w:rFonts w:ascii="Times New Roman" w:hAnsi="Times New Roman"/>
                <w:sz w:val="24"/>
                <w:szCs w:val="24"/>
                <w:lang w:val="es-ES"/>
              </w:rPr>
              <w:t>. Servicios rendidos por un especialista en planillas, declaraciones o reclamaciones de reintegro</w:t>
            </w:r>
          </w:p>
        </w:tc>
      </w:tr>
      <w:tr w:rsidR="00902A9B" w:rsidTr="001B0C51">
        <w:tc>
          <w:tcPr>
            <w:cnfStyle w:val="001000000000"/>
            <w:tcW w:w="2724" w:type="dxa"/>
          </w:tcPr>
          <w:p w:rsidR="00902A9B" w:rsidRPr="00902A9B" w:rsidRDefault="00902A9B" w:rsidP="007F1A8F">
            <w:pPr>
              <w:pStyle w:val="ListParagraph"/>
              <w:numPr>
                <w:ilvl w:val="0"/>
                <w:numId w:val="4"/>
              </w:numPr>
              <w:spacing w:line="240" w:lineRule="auto"/>
              <w:jc w:val="both"/>
              <w:rPr>
                <w:rFonts w:ascii="Times New Roman" w:hAnsi="Times New Roman"/>
                <w:b w:val="0"/>
                <w:sz w:val="24"/>
                <w:lang w:val="es-ES"/>
              </w:rPr>
            </w:pPr>
            <w:r w:rsidRPr="00902A9B">
              <w:rPr>
                <w:rFonts w:ascii="Times New Roman" w:hAnsi="Times New Roman"/>
                <w:b w:val="0"/>
                <w:sz w:val="24"/>
                <w:lang w:val="es-ES"/>
              </w:rPr>
              <w:t>Agrónomos</w:t>
            </w:r>
          </w:p>
        </w:tc>
        <w:tc>
          <w:tcPr>
            <w:tcW w:w="3192" w:type="dxa"/>
          </w:tcPr>
          <w:p w:rsidR="00902A9B" w:rsidRPr="0082139F" w:rsidRDefault="00902A9B" w:rsidP="007F1A8F">
            <w:pPr>
              <w:pStyle w:val="ListParagraph"/>
              <w:numPr>
                <w:ilvl w:val="0"/>
                <w:numId w:val="3"/>
              </w:numPr>
              <w:spacing w:line="240" w:lineRule="auto"/>
              <w:cnfStyle w:val="000000000000"/>
              <w:rPr>
                <w:rFonts w:ascii="Times New Roman" w:hAnsi="Times New Roman"/>
                <w:sz w:val="24"/>
                <w:lang w:val="es-ES"/>
              </w:rPr>
            </w:pPr>
            <w:r w:rsidRPr="0082139F">
              <w:rPr>
                <w:rFonts w:ascii="Times New Roman" w:hAnsi="Times New Roman"/>
                <w:sz w:val="24"/>
                <w:lang w:val="es-ES"/>
              </w:rPr>
              <w:t xml:space="preserve">Corredores, Vendedores y Empresas de bienes </w:t>
            </w:r>
            <w:r w:rsidRPr="0082139F">
              <w:rPr>
                <w:rFonts w:ascii="Times New Roman" w:hAnsi="Times New Roman"/>
                <w:sz w:val="24"/>
                <w:lang w:val="es-ES"/>
              </w:rPr>
              <w:lastRenderedPageBreak/>
              <w:t xml:space="preserve">raíces </w:t>
            </w:r>
          </w:p>
        </w:tc>
        <w:tc>
          <w:tcPr>
            <w:tcW w:w="3192" w:type="dxa"/>
          </w:tcPr>
          <w:p w:rsidR="00902A9B" w:rsidRPr="001B0C51" w:rsidRDefault="001B0C51" w:rsidP="00902A9B">
            <w:pPr>
              <w:spacing w:line="240" w:lineRule="auto"/>
              <w:jc w:val="both"/>
              <w:cnfStyle w:val="000000000000"/>
              <w:rPr>
                <w:rFonts w:ascii="Times New Roman" w:hAnsi="Times New Roman"/>
                <w:sz w:val="24"/>
                <w:lang w:val="es-ES"/>
              </w:rPr>
            </w:pPr>
            <w:r w:rsidRPr="001B0C51">
              <w:rPr>
                <w:rFonts w:ascii="Times New Roman" w:hAnsi="Times New Roman"/>
                <w:sz w:val="24"/>
                <w:lang w:val="es-ES"/>
              </w:rPr>
              <w:lastRenderedPageBreak/>
              <w:t>8</w:t>
            </w:r>
            <w:r w:rsidRPr="001B0C51">
              <w:rPr>
                <w:rFonts w:ascii="Times New Roman" w:hAnsi="Times New Roman"/>
                <w:sz w:val="24"/>
                <w:szCs w:val="24"/>
                <w:lang w:val="es-ES"/>
              </w:rPr>
              <w:t>. Ingenieros y Agrimensores</w:t>
            </w:r>
          </w:p>
        </w:tc>
      </w:tr>
      <w:tr w:rsidR="00902A9B" w:rsidTr="001B0C51">
        <w:trPr>
          <w:cnfStyle w:val="000000100000"/>
        </w:trPr>
        <w:tc>
          <w:tcPr>
            <w:cnfStyle w:val="001000000000"/>
            <w:tcW w:w="2724" w:type="dxa"/>
          </w:tcPr>
          <w:p w:rsidR="00902A9B" w:rsidRPr="00902A9B" w:rsidRDefault="00902A9B" w:rsidP="007F1A8F">
            <w:pPr>
              <w:pStyle w:val="ListParagraph"/>
              <w:numPr>
                <w:ilvl w:val="0"/>
                <w:numId w:val="4"/>
              </w:numPr>
              <w:spacing w:line="240" w:lineRule="auto"/>
              <w:jc w:val="both"/>
              <w:rPr>
                <w:rFonts w:ascii="Times New Roman" w:hAnsi="Times New Roman"/>
                <w:b w:val="0"/>
                <w:sz w:val="24"/>
                <w:lang w:val="es-ES"/>
              </w:rPr>
            </w:pPr>
            <w:r w:rsidRPr="00902A9B">
              <w:rPr>
                <w:rFonts w:ascii="Times New Roman" w:hAnsi="Times New Roman"/>
                <w:b w:val="0"/>
                <w:sz w:val="24"/>
                <w:lang w:val="es-ES"/>
              </w:rPr>
              <w:lastRenderedPageBreak/>
              <w:t>Arquitectos</w:t>
            </w:r>
          </w:p>
        </w:tc>
        <w:tc>
          <w:tcPr>
            <w:tcW w:w="3192" w:type="dxa"/>
          </w:tcPr>
          <w:p w:rsidR="00902A9B" w:rsidRPr="001B0C51" w:rsidRDefault="001B0C51" w:rsidP="007F1A8F">
            <w:pPr>
              <w:pStyle w:val="ListParagraph"/>
              <w:numPr>
                <w:ilvl w:val="0"/>
                <w:numId w:val="3"/>
              </w:numPr>
              <w:spacing w:line="240" w:lineRule="auto"/>
              <w:jc w:val="both"/>
              <w:cnfStyle w:val="000000100000"/>
              <w:rPr>
                <w:rFonts w:ascii="Times New Roman" w:hAnsi="Times New Roman"/>
                <w:b/>
                <w:sz w:val="24"/>
                <w:lang w:val="es-ES"/>
              </w:rPr>
            </w:pPr>
            <w:r w:rsidRPr="001B0C51">
              <w:rPr>
                <w:rFonts w:ascii="Times New Roman" w:hAnsi="Times New Roman"/>
                <w:sz w:val="24"/>
                <w:lang w:val="es-ES"/>
              </w:rPr>
              <w:t>Geólogos</w:t>
            </w:r>
          </w:p>
        </w:tc>
        <w:tc>
          <w:tcPr>
            <w:tcW w:w="3192" w:type="dxa"/>
          </w:tcPr>
          <w:p w:rsidR="00902A9B" w:rsidRDefault="00902A9B" w:rsidP="00902A9B">
            <w:pPr>
              <w:spacing w:line="240" w:lineRule="auto"/>
              <w:jc w:val="both"/>
              <w:cnfStyle w:val="000000100000"/>
              <w:rPr>
                <w:rFonts w:ascii="Times New Roman" w:hAnsi="Times New Roman"/>
                <w:b/>
                <w:sz w:val="24"/>
                <w:lang w:val="es-ES"/>
              </w:rPr>
            </w:pPr>
          </w:p>
        </w:tc>
      </w:tr>
    </w:tbl>
    <w:p w:rsidR="001B0C51" w:rsidRPr="00D96A9D" w:rsidRDefault="00297138" w:rsidP="007F1A8F">
      <w:pPr>
        <w:pStyle w:val="ListParagraph"/>
        <w:numPr>
          <w:ilvl w:val="0"/>
          <w:numId w:val="19"/>
        </w:numPr>
        <w:spacing w:before="120" w:line="240" w:lineRule="auto"/>
        <w:jc w:val="both"/>
        <w:rPr>
          <w:rFonts w:ascii="Times New Roman" w:hAnsi="Times New Roman"/>
          <w:sz w:val="24"/>
          <w:szCs w:val="24"/>
          <w:lang w:val="es-ES"/>
        </w:rPr>
      </w:pPr>
      <w:r w:rsidRPr="00D96A9D">
        <w:rPr>
          <w:rFonts w:ascii="Times New Roman" w:hAnsi="Times New Roman"/>
          <w:b/>
          <w:sz w:val="24"/>
          <w:szCs w:val="24"/>
          <w:lang w:val="es-ES"/>
        </w:rPr>
        <w:t>¿Se pagará a través de PICO el 4% sobre los servicios entre comerciantes y los servicios profesionales designados?</w:t>
      </w:r>
    </w:p>
    <w:p w:rsidR="00BA4586" w:rsidRPr="00D96A9D" w:rsidRDefault="00297138" w:rsidP="007F1A8F">
      <w:pPr>
        <w:pStyle w:val="ListParagraph"/>
        <w:numPr>
          <w:ilvl w:val="0"/>
          <w:numId w:val="16"/>
        </w:numPr>
        <w:spacing w:before="120" w:line="240" w:lineRule="auto"/>
        <w:jc w:val="both"/>
        <w:rPr>
          <w:rFonts w:ascii="Times New Roman" w:hAnsi="Times New Roman"/>
          <w:sz w:val="24"/>
          <w:szCs w:val="24"/>
          <w:lang w:val="es-ES"/>
        </w:rPr>
      </w:pPr>
      <w:r w:rsidRPr="00D96A9D">
        <w:rPr>
          <w:rFonts w:ascii="Times New Roman" w:hAnsi="Times New Roman"/>
          <w:sz w:val="24"/>
          <w:lang w:val="es-ES"/>
        </w:rPr>
        <w:t>Sí.  Para la Planilla Mensual de IVU del mes de octubre de 2015 estará disponible una planilla aparte para pagar esta contribución.</w:t>
      </w:r>
    </w:p>
    <w:p w:rsidR="00297138" w:rsidRPr="00D96A9D" w:rsidRDefault="00297138" w:rsidP="007F1A8F">
      <w:pPr>
        <w:pStyle w:val="ListParagraph"/>
        <w:numPr>
          <w:ilvl w:val="0"/>
          <w:numId w:val="19"/>
        </w:numPr>
        <w:spacing w:before="120" w:line="240" w:lineRule="auto"/>
        <w:jc w:val="both"/>
        <w:rPr>
          <w:rFonts w:ascii="Times New Roman" w:hAnsi="Times New Roman"/>
          <w:sz w:val="24"/>
          <w:szCs w:val="24"/>
          <w:lang w:val="es-ES"/>
        </w:rPr>
      </w:pPr>
      <w:r w:rsidRPr="00D96A9D">
        <w:rPr>
          <w:rFonts w:ascii="Times New Roman" w:hAnsi="Times New Roman"/>
          <w:b/>
          <w:sz w:val="24"/>
          <w:lang w:val="es-ES"/>
        </w:rPr>
        <w:t>¿Le aplicará el IVU municipal a los servicios que están sujetos a la tasa del 4%?</w:t>
      </w:r>
    </w:p>
    <w:p w:rsidR="00BA4586" w:rsidRPr="00D96A9D" w:rsidRDefault="001B0C51" w:rsidP="007F1A8F">
      <w:pPr>
        <w:pStyle w:val="ListParagraph"/>
        <w:numPr>
          <w:ilvl w:val="0"/>
          <w:numId w:val="16"/>
        </w:numPr>
        <w:spacing w:line="240" w:lineRule="auto"/>
        <w:jc w:val="both"/>
        <w:rPr>
          <w:rFonts w:ascii="Times New Roman" w:hAnsi="Times New Roman"/>
          <w:sz w:val="24"/>
          <w:szCs w:val="24"/>
          <w:lang w:val="es-ES"/>
        </w:rPr>
      </w:pPr>
      <w:r w:rsidRPr="00D96A9D">
        <w:rPr>
          <w:rFonts w:ascii="Times New Roman" w:hAnsi="Times New Roman"/>
          <w:sz w:val="24"/>
          <w:lang w:val="es-ES"/>
        </w:rPr>
        <w:t xml:space="preserve">No. </w:t>
      </w:r>
      <w:r w:rsidR="00297138" w:rsidRPr="00D96A9D">
        <w:rPr>
          <w:rFonts w:ascii="Times New Roman" w:hAnsi="Times New Roman"/>
          <w:sz w:val="24"/>
          <w:lang w:val="es-ES"/>
        </w:rPr>
        <w:t xml:space="preserve">Los servicios entre negocios y los servicios profesionales designados que estén sujetos al IVU comenzado el 1 de octubre de 2015 no estarán sujetos al IVU </w:t>
      </w:r>
      <w:r w:rsidR="00297138" w:rsidRPr="00D96A9D">
        <w:rPr>
          <w:rFonts w:ascii="Times New Roman" w:hAnsi="Times New Roman"/>
          <w:sz w:val="24"/>
          <w:szCs w:val="24"/>
          <w:lang w:val="es-ES"/>
        </w:rPr>
        <w:t>municipal.</w:t>
      </w:r>
    </w:p>
    <w:p w:rsidR="001B0C51" w:rsidRPr="00D96A9D" w:rsidRDefault="00297138" w:rsidP="007F1A8F">
      <w:pPr>
        <w:pStyle w:val="ListParagraph"/>
        <w:numPr>
          <w:ilvl w:val="0"/>
          <w:numId w:val="19"/>
        </w:numPr>
        <w:spacing w:line="240" w:lineRule="auto"/>
        <w:jc w:val="both"/>
        <w:rPr>
          <w:rFonts w:ascii="Times New Roman" w:hAnsi="Times New Roman"/>
          <w:sz w:val="24"/>
          <w:szCs w:val="24"/>
          <w:lang w:val="es-ES"/>
        </w:rPr>
      </w:pPr>
      <w:r w:rsidRPr="00D96A9D">
        <w:rPr>
          <w:rFonts w:ascii="Times New Roman" w:hAnsi="Times New Roman"/>
          <w:b/>
          <w:sz w:val="24"/>
          <w:szCs w:val="24"/>
          <w:lang w:val="es-ES"/>
        </w:rPr>
        <w:t>¿Puedo tomar un crédito en mi Planilla Mensual del IVU por el IVU pagado al 4%?</w:t>
      </w:r>
    </w:p>
    <w:p w:rsidR="00BA4586" w:rsidRPr="00D96A9D" w:rsidRDefault="00297138" w:rsidP="007F1A8F">
      <w:pPr>
        <w:pStyle w:val="ListParagraph"/>
        <w:numPr>
          <w:ilvl w:val="0"/>
          <w:numId w:val="16"/>
        </w:numPr>
        <w:spacing w:line="240" w:lineRule="auto"/>
        <w:rPr>
          <w:rFonts w:ascii="Times New Roman" w:hAnsi="Times New Roman"/>
          <w:sz w:val="24"/>
          <w:lang w:val="es-ES"/>
        </w:rPr>
      </w:pPr>
      <w:r w:rsidRPr="00D96A9D">
        <w:rPr>
          <w:rFonts w:ascii="Times New Roman" w:hAnsi="Times New Roman"/>
          <w:sz w:val="24"/>
          <w:lang w:val="es-ES"/>
        </w:rPr>
        <w:t>No.  El IVU pagado al 4% no es pagado sobre una partida tributable para la reventa.  Por lo que no es acreditable el IVU pagado al 4%</w:t>
      </w:r>
      <w:r w:rsidR="00BA4586" w:rsidRPr="00D96A9D">
        <w:rPr>
          <w:rFonts w:ascii="Times New Roman" w:hAnsi="Times New Roman"/>
          <w:sz w:val="24"/>
          <w:lang w:val="es-ES"/>
        </w:rPr>
        <w:t>.</w:t>
      </w:r>
    </w:p>
    <w:sectPr w:rsidR="00BA4586" w:rsidRPr="00D96A9D" w:rsidSect="00261365">
      <w:headerReference w:type="even" r:id="rId28"/>
      <w:headerReference w:type="default" r:id="rId29"/>
      <w:footerReference w:type="even" r:id="rId30"/>
      <w:footerReference w:type="default" r:id="rId31"/>
      <w:headerReference w:type="first" r:id="rId32"/>
      <w:footerReference w:type="first" r:id="rId33"/>
      <w:pgSz w:w="12240" w:h="15840"/>
      <w:pgMar w:top="418" w:right="1440" w:bottom="900" w:left="1440" w:header="720" w:footer="288"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A8F" w:rsidRDefault="007F1A8F" w:rsidP="005501A9">
      <w:pPr>
        <w:spacing w:after="0" w:line="240" w:lineRule="auto"/>
      </w:pPr>
      <w:r>
        <w:separator/>
      </w:r>
    </w:p>
  </w:endnote>
  <w:endnote w:type="continuationSeparator" w:id="0">
    <w:p w:rsidR="007F1A8F" w:rsidRDefault="007F1A8F"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054" w:rsidRDefault="007A10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4C743D" w:rsidRPr="007377CD">
      <w:tc>
        <w:tcPr>
          <w:tcW w:w="918" w:type="dxa"/>
        </w:tcPr>
        <w:p w:rsidR="004C743D" w:rsidRDefault="002F4D2A" w:rsidP="00421D82">
          <w:pPr>
            <w:pStyle w:val="Footer"/>
            <w:spacing w:before="120"/>
            <w:jc w:val="right"/>
            <w:rPr>
              <w:b/>
              <w:color w:val="4F81BD" w:themeColor="accent1"/>
              <w:sz w:val="32"/>
              <w:szCs w:val="32"/>
            </w:rPr>
          </w:pPr>
          <w:r w:rsidRPr="002F4D2A">
            <w:rPr>
              <w:noProof/>
            </w:rPr>
            <w:drawing>
              <wp:inline distT="0" distB="0" distL="0" distR="0">
                <wp:extent cx="971550" cy="619125"/>
                <wp:effectExtent l="19050" t="0" r="0" b="0"/>
                <wp:docPr id="4"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4920" cy="627645"/>
                        </a:xfrm>
                        <a:prstGeom prst="rect">
                          <a:avLst/>
                        </a:prstGeom>
                        <a:noFill/>
                        <a:ln>
                          <a:noFill/>
                        </a:ln>
                      </pic:spPr>
                    </pic:pic>
                  </a:graphicData>
                </a:graphic>
              </wp:inline>
            </w:drawing>
          </w:r>
          <w:r w:rsidR="006666DB" w:rsidRPr="002F4D2A">
            <w:rPr>
              <w:rFonts w:ascii="Times New Roman" w:hAnsi="Times New Roman"/>
              <w:sz w:val="28"/>
              <w:szCs w:val="28"/>
            </w:rPr>
            <w:fldChar w:fldCharType="begin"/>
          </w:r>
          <w:r w:rsidR="004C743D" w:rsidRPr="002F4D2A">
            <w:rPr>
              <w:rFonts w:ascii="Times New Roman" w:hAnsi="Times New Roman"/>
              <w:sz w:val="28"/>
              <w:szCs w:val="28"/>
            </w:rPr>
            <w:instrText xml:space="preserve"> PAGE   \* MERGEFORMAT </w:instrText>
          </w:r>
          <w:r w:rsidR="006666DB" w:rsidRPr="002F4D2A">
            <w:rPr>
              <w:rFonts w:ascii="Times New Roman" w:hAnsi="Times New Roman"/>
              <w:sz w:val="28"/>
              <w:szCs w:val="28"/>
            </w:rPr>
            <w:fldChar w:fldCharType="separate"/>
          </w:r>
          <w:r w:rsidR="007A1054" w:rsidRPr="007A1054">
            <w:rPr>
              <w:rFonts w:ascii="Times New Roman" w:hAnsi="Times New Roman"/>
              <w:b/>
              <w:noProof/>
              <w:sz w:val="28"/>
              <w:szCs w:val="28"/>
            </w:rPr>
            <w:t>1</w:t>
          </w:r>
          <w:r w:rsidR="006666DB" w:rsidRPr="002F4D2A">
            <w:rPr>
              <w:rFonts w:ascii="Times New Roman" w:hAnsi="Times New Roman"/>
              <w:sz w:val="28"/>
              <w:szCs w:val="28"/>
            </w:rPr>
            <w:fldChar w:fldCharType="end"/>
          </w:r>
        </w:p>
      </w:tc>
      <w:tc>
        <w:tcPr>
          <w:tcW w:w="7938" w:type="dxa"/>
        </w:tcPr>
        <w:p w:rsidR="002F4D2A" w:rsidRDefault="002F4D2A" w:rsidP="002F4D2A">
          <w:pPr>
            <w:pStyle w:val="Footer"/>
            <w:jc w:val="center"/>
            <w:rPr>
              <w:rFonts w:ascii="Times New Roman" w:hAnsi="Times New Roman"/>
              <w:lang w:val="es-PR"/>
            </w:rPr>
          </w:pPr>
        </w:p>
        <w:p w:rsidR="002F4D2A" w:rsidRDefault="002F4D2A" w:rsidP="002F4D2A">
          <w:pPr>
            <w:pStyle w:val="Footer"/>
            <w:jc w:val="center"/>
            <w:rPr>
              <w:rFonts w:ascii="Times New Roman" w:hAnsi="Times New Roman"/>
              <w:sz w:val="16"/>
              <w:szCs w:val="16"/>
              <w:lang w:val="es-PR"/>
            </w:rPr>
          </w:pPr>
          <w:r w:rsidRPr="00F1377B">
            <w:rPr>
              <w:rFonts w:ascii="Times New Roman" w:hAnsi="Times New Roman"/>
              <w:lang w:val="es-PR"/>
            </w:rPr>
            <w:t>Hacienda Responde</w:t>
          </w:r>
        </w:p>
        <w:p w:rsidR="002F4D2A" w:rsidRDefault="002F4D2A" w:rsidP="002F4D2A">
          <w:pPr>
            <w:pStyle w:val="Footer"/>
            <w:jc w:val="center"/>
            <w:rPr>
              <w:rFonts w:ascii="Times New Roman" w:hAnsi="Times New Roman"/>
              <w:sz w:val="16"/>
              <w:szCs w:val="16"/>
              <w:lang w:val="es-PR"/>
            </w:rPr>
          </w:pPr>
        </w:p>
        <w:p w:rsidR="004C743D" w:rsidRPr="002F4D2A" w:rsidRDefault="002F4D2A" w:rsidP="002F4D2A">
          <w:pPr>
            <w:pStyle w:val="Footer"/>
            <w:jc w:val="center"/>
            <w:rPr>
              <w:lang w:val="es-PR"/>
            </w:rPr>
          </w:pPr>
          <w:r w:rsidRPr="00F1377B">
            <w:rPr>
              <w:rFonts w:ascii="Times New Roman" w:hAnsi="Times New Roman"/>
              <w:sz w:val="16"/>
              <w:szCs w:val="16"/>
              <w:lang w:val="es-PR"/>
            </w:rPr>
            <w:t>Este documento es</w:t>
          </w:r>
          <w:r w:rsidR="00261365">
            <w:rPr>
              <w:rFonts w:ascii="Times New Roman" w:hAnsi="Times New Roman"/>
              <w:sz w:val="16"/>
              <w:szCs w:val="16"/>
              <w:lang w:val="es-PR"/>
            </w:rPr>
            <w:t xml:space="preserve"> sólo de carácter informativo.  </w:t>
          </w:r>
          <w:r w:rsidRPr="00F1377B">
            <w:rPr>
              <w:rFonts w:ascii="Times New Roman" w:hAnsi="Times New Roman"/>
              <w:sz w:val="16"/>
              <w:szCs w:val="16"/>
              <w:lang w:val="es-PR"/>
            </w:rPr>
            <w:t>La comunicación provista puede estar sujeta a cambios y no sustituye ninguna legislación, jurisprudencia, orden ejecutiva, reglamentos y/o normas aplicables a la agencia de gobierno.</w:t>
          </w:r>
        </w:p>
      </w:tc>
    </w:tr>
  </w:tbl>
  <w:p w:rsidR="002D75F4" w:rsidRPr="0079658A" w:rsidRDefault="002D75F4">
    <w:pPr>
      <w:rPr>
        <w:lang w:val="es-P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054" w:rsidRDefault="007A10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A8F" w:rsidRDefault="007F1A8F" w:rsidP="005501A9">
      <w:pPr>
        <w:spacing w:after="0" w:line="240" w:lineRule="auto"/>
      </w:pPr>
      <w:r>
        <w:separator/>
      </w:r>
    </w:p>
  </w:footnote>
  <w:footnote w:type="continuationSeparator" w:id="0">
    <w:p w:rsidR="007F1A8F" w:rsidRDefault="007F1A8F"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054" w:rsidRDefault="007A10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4C743D" w:rsidRPr="007A1054">
      <w:trPr>
        <w:trHeight w:val="288"/>
      </w:trPr>
      <w:tc>
        <w:tcPr>
          <w:tcW w:w="7765" w:type="dxa"/>
        </w:tcPr>
        <w:p w:rsidR="007A1054" w:rsidRDefault="004C743D" w:rsidP="004C743D">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sidR="007A1054">
            <w:rPr>
              <w:rFonts w:ascii="Times New Roman" w:hAnsi="Times New Roman"/>
              <w:sz w:val="32"/>
              <w:szCs w:val="32"/>
              <w:lang w:val="es-PR"/>
            </w:rPr>
            <w:t>mento de Hacienda</w:t>
          </w:r>
        </w:p>
        <w:p w:rsidR="004C743D" w:rsidRPr="00446DFA" w:rsidRDefault="004C743D" w:rsidP="004C743D">
          <w:pPr>
            <w:tabs>
              <w:tab w:val="center" w:pos="4680"/>
            </w:tabs>
            <w:spacing w:after="0" w:line="240" w:lineRule="auto"/>
            <w:ind w:right="-90"/>
            <w:rPr>
              <w:rFonts w:ascii="Times New Roman" w:hAnsi="Times New Roman"/>
              <w:sz w:val="32"/>
              <w:szCs w:val="32"/>
              <w:lang w:val="es-PR"/>
            </w:rPr>
          </w:pPr>
          <w:r>
            <w:rPr>
              <w:rFonts w:ascii="Times New Roman" w:hAnsi="Times New Roman"/>
              <w:sz w:val="32"/>
              <w:szCs w:val="32"/>
              <w:lang w:val="es-PR"/>
            </w:rPr>
            <w:t>Área de Rentas Internas</w:t>
          </w:r>
        </w:p>
        <w:p w:rsidR="004C743D" w:rsidRPr="007A1054" w:rsidRDefault="004C743D" w:rsidP="004C743D">
          <w:pPr>
            <w:spacing w:after="0" w:line="240" w:lineRule="auto"/>
            <w:rPr>
              <w:rFonts w:ascii="Times New Roman" w:hAnsi="Times New Roman"/>
              <w:sz w:val="28"/>
              <w:szCs w:val="28"/>
              <w:lang w:val="es-PR"/>
            </w:rPr>
          </w:pPr>
          <w:bookmarkStart w:id="1" w:name="OLE_LINK7"/>
          <w:bookmarkStart w:id="2" w:name="OLE_LINK8"/>
          <w:r w:rsidRPr="007A1054">
            <w:rPr>
              <w:rFonts w:ascii="Times New Roman" w:hAnsi="Times New Roman"/>
              <w:sz w:val="28"/>
              <w:szCs w:val="28"/>
              <w:lang w:val="es-PR"/>
            </w:rPr>
            <w:t>Negociado de Impuesto al Consumo</w:t>
          </w:r>
        </w:p>
        <w:p w:rsidR="004C743D" w:rsidRPr="004C743D" w:rsidRDefault="002910D6" w:rsidP="004C743D">
          <w:pPr>
            <w:spacing w:after="0" w:line="240" w:lineRule="auto"/>
            <w:rPr>
              <w:rFonts w:ascii="Times New Roman" w:hAnsi="Times New Roman"/>
              <w:b/>
              <w:sz w:val="28"/>
              <w:szCs w:val="28"/>
              <w:lang w:val="es-PR"/>
            </w:rPr>
          </w:pPr>
          <w:bookmarkStart w:id="3" w:name="OLE_LINK5"/>
          <w:bookmarkStart w:id="4" w:name="OLE_LINK6"/>
          <w:bookmarkEnd w:id="1"/>
          <w:bookmarkEnd w:id="2"/>
          <w:r>
            <w:rPr>
              <w:rFonts w:ascii="Times New Roman" w:hAnsi="Times New Roman"/>
              <w:b/>
              <w:sz w:val="28"/>
              <w:szCs w:val="28"/>
              <w:lang w:val="es-PR"/>
            </w:rPr>
            <w:t>Cambios en el Impuesto sobre Ventas y Uso</w:t>
          </w:r>
          <w:r w:rsidR="009158B8">
            <w:rPr>
              <w:rFonts w:ascii="Times New Roman" w:hAnsi="Times New Roman"/>
              <w:b/>
              <w:sz w:val="28"/>
              <w:szCs w:val="28"/>
              <w:lang w:val="es-PR"/>
            </w:rPr>
            <w:t xml:space="preserve"> </w:t>
          </w:r>
          <w:bookmarkEnd w:id="3"/>
          <w:bookmarkEnd w:id="4"/>
        </w:p>
      </w:tc>
      <w:tc>
        <w:tcPr>
          <w:tcW w:w="1105" w:type="dxa"/>
        </w:tcPr>
        <w:p w:rsidR="004C743D" w:rsidRPr="00D049E5" w:rsidRDefault="006666DB" w:rsidP="004C743D">
          <w:pPr>
            <w:pStyle w:val="Header"/>
            <w:rPr>
              <w:rFonts w:asciiTheme="majorHAnsi" w:eastAsiaTheme="majorEastAsia" w:hAnsiTheme="majorHAnsi" w:cstheme="majorBidi"/>
              <w:b/>
              <w:bCs/>
              <w:color w:val="4F81BD" w:themeColor="accent1"/>
              <w:sz w:val="36"/>
              <w:szCs w:val="36"/>
              <w:lang w:val="es-PR"/>
            </w:rPr>
          </w:pPr>
          <w:r w:rsidRPr="006666DB">
            <w:rPr>
              <w:rFonts w:ascii="Times New Roman" w:hAnsi="Times New Roman"/>
              <w:noProof/>
              <w:sz w:val="32"/>
              <w:szCs w:val="32"/>
            </w:rPr>
            <w:pict>
              <v:shapetype id="_x0000_t202" coordsize="21600,21600" o:spt="202" path="m,l,21600r21600,l21600,xe">
                <v:stroke joinstyle="miter"/>
                <v:path gradientshapeok="t" o:connecttype="rect"/>
              </v:shapetype>
              <v:shape id="Text Box 1" o:spid="_x0000_s4103" type="#_x0000_t202" style="position:absolute;margin-left:-2.75pt;margin-top:37.65pt;width:84.75pt;height:30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2910D6" w:rsidRDefault="002910D6" w:rsidP="004C743D">
                      <w:pPr>
                        <w:spacing w:after="0" w:line="240" w:lineRule="auto"/>
                        <w:jc w:val="center"/>
                        <w:rPr>
                          <w:rFonts w:ascii="Times New Roman" w:hAnsi="Times New Roman"/>
                          <w:sz w:val="16"/>
                          <w:szCs w:val="16"/>
                          <w:lang w:val="es-PR"/>
                        </w:rPr>
                      </w:pPr>
                      <w:r>
                        <w:rPr>
                          <w:rFonts w:ascii="Times New Roman" w:hAnsi="Times New Roman"/>
                          <w:sz w:val="16"/>
                          <w:szCs w:val="16"/>
                          <w:lang w:val="es-PR"/>
                        </w:rPr>
                        <w:t>NIC-001</w:t>
                      </w:r>
                    </w:p>
                    <w:p w:rsidR="004C743D" w:rsidRPr="002608D6" w:rsidRDefault="007A1054" w:rsidP="004C743D">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19</w:t>
                      </w:r>
                      <w:r w:rsidR="007377CD">
                        <w:rPr>
                          <w:rFonts w:ascii="Times New Roman" w:hAnsi="Times New Roman"/>
                          <w:sz w:val="16"/>
                          <w:szCs w:val="16"/>
                          <w:lang w:val="es-PR"/>
                        </w:rPr>
                        <w:t>-ago</w:t>
                      </w:r>
                      <w:r w:rsidR="004C743D" w:rsidRPr="00446DFA">
                        <w:rPr>
                          <w:rFonts w:ascii="Times New Roman" w:hAnsi="Times New Roman"/>
                          <w:sz w:val="16"/>
                          <w:szCs w:val="16"/>
                          <w:lang w:val="es-PR"/>
                        </w:rPr>
                        <w:t>-15</w:t>
                      </w:r>
                    </w:p>
                  </w:txbxContent>
                </v:textbox>
              </v:shape>
            </w:pict>
          </w:r>
        </w:p>
      </w:tc>
    </w:tr>
  </w:tbl>
  <w:p w:rsidR="002D75F4" w:rsidRPr="005F26F6" w:rsidRDefault="002D75F4" w:rsidP="004C743D">
    <w:pPr>
      <w:spacing w:after="0" w:line="120" w:lineRule="auto"/>
      <w:jc w:val="center"/>
      <w:rPr>
        <w:rFonts w:ascii="Times New Roman" w:hAnsi="Times New Roman"/>
        <w:b/>
        <w:sz w:val="28"/>
        <w:szCs w:val="28"/>
        <w:lang w:val="es-P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054" w:rsidRDefault="007A10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0A2E"/>
    <w:multiLevelType w:val="multilevel"/>
    <w:tmpl w:val="1E841190"/>
    <w:lvl w:ilvl="0">
      <w:start w:val="1"/>
      <w:numFmt w:val="bullet"/>
      <w:lvlText w:val="o"/>
      <w:lvlJc w:val="left"/>
      <w:pPr>
        <w:tabs>
          <w:tab w:val="num" w:pos="720"/>
        </w:tabs>
        <w:ind w:left="720" w:hanging="360"/>
      </w:pPr>
      <w:rPr>
        <w:rFonts w:ascii="Courier New" w:hAnsi="Courier New" w:cs="Courier New"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D4A02"/>
    <w:multiLevelType w:val="multilevel"/>
    <w:tmpl w:val="0720B67C"/>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F4E30"/>
    <w:multiLevelType w:val="hybridMultilevel"/>
    <w:tmpl w:val="B73E33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EF2A0D"/>
    <w:multiLevelType w:val="hybridMultilevel"/>
    <w:tmpl w:val="889A171E"/>
    <w:lvl w:ilvl="0" w:tplc="421232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32B4C"/>
    <w:multiLevelType w:val="hybridMultilevel"/>
    <w:tmpl w:val="C6EAB5A4"/>
    <w:lvl w:ilvl="0" w:tplc="03E4B62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32D5F"/>
    <w:multiLevelType w:val="hybridMultilevel"/>
    <w:tmpl w:val="A67EB72A"/>
    <w:lvl w:ilvl="0" w:tplc="63DC59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2F3113"/>
    <w:multiLevelType w:val="hybridMultilevel"/>
    <w:tmpl w:val="F3D02F50"/>
    <w:lvl w:ilvl="0" w:tplc="5FC0CC3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C11745"/>
    <w:multiLevelType w:val="hybridMultilevel"/>
    <w:tmpl w:val="A29E0F76"/>
    <w:lvl w:ilvl="0" w:tplc="675A7BC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0A550A"/>
    <w:multiLevelType w:val="hybridMultilevel"/>
    <w:tmpl w:val="A8D0A170"/>
    <w:lvl w:ilvl="0" w:tplc="DCB82B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E42B4E"/>
    <w:multiLevelType w:val="hybridMultilevel"/>
    <w:tmpl w:val="6AEAFC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1BB40BA0"/>
    <w:multiLevelType w:val="hybridMultilevel"/>
    <w:tmpl w:val="3E6E86D4"/>
    <w:lvl w:ilvl="0" w:tplc="B614CC16">
      <w:start w:val="1"/>
      <w:numFmt w:val="bullet"/>
      <w:lvlText w:val="o"/>
      <w:lvlJc w:val="left"/>
      <w:pPr>
        <w:ind w:left="1440" w:hanging="360"/>
      </w:pPr>
      <w:rPr>
        <w:rFonts w:ascii="Courier New" w:hAnsi="Courier New" w:cs="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D0E4F54"/>
    <w:multiLevelType w:val="hybridMultilevel"/>
    <w:tmpl w:val="C692868C"/>
    <w:lvl w:ilvl="0" w:tplc="4D80965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573FFC"/>
    <w:multiLevelType w:val="hybridMultilevel"/>
    <w:tmpl w:val="7AEA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CD13E3"/>
    <w:multiLevelType w:val="multilevel"/>
    <w:tmpl w:val="33F8F9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2E7984"/>
    <w:multiLevelType w:val="hybridMultilevel"/>
    <w:tmpl w:val="12BAB6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FC72CA"/>
    <w:multiLevelType w:val="hybridMultilevel"/>
    <w:tmpl w:val="C96827D8"/>
    <w:lvl w:ilvl="0" w:tplc="E38ACE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691F7D"/>
    <w:multiLevelType w:val="hybridMultilevel"/>
    <w:tmpl w:val="33C45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1623A8"/>
    <w:multiLevelType w:val="hybridMultilevel"/>
    <w:tmpl w:val="F6303CFA"/>
    <w:lvl w:ilvl="0" w:tplc="A6BC288C">
      <w:start w:val="1"/>
      <w:numFmt w:val="bullet"/>
      <w:lvlText w:val="o"/>
      <w:lvlJc w:val="left"/>
      <w:pPr>
        <w:ind w:left="1440" w:hanging="360"/>
      </w:pPr>
      <w:rPr>
        <w:rFonts w:ascii="Courier New" w:hAnsi="Courier New" w:cs="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1744A9B"/>
    <w:multiLevelType w:val="hybridMultilevel"/>
    <w:tmpl w:val="CEB0DC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3E313A7"/>
    <w:multiLevelType w:val="hybridMultilevel"/>
    <w:tmpl w:val="93F0F912"/>
    <w:lvl w:ilvl="0" w:tplc="CF0690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2D3C62"/>
    <w:multiLevelType w:val="hybridMultilevel"/>
    <w:tmpl w:val="D792B934"/>
    <w:lvl w:ilvl="0" w:tplc="B614CC16">
      <w:start w:val="1"/>
      <w:numFmt w:val="bullet"/>
      <w:lvlText w:val="o"/>
      <w:lvlJc w:val="left"/>
      <w:pPr>
        <w:ind w:left="1440" w:hanging="360"/>
      </w:pPr>
      <w:rPr>
        <w:rFonts w:ascii="Courier New" w:hAnsi="Courier New" w:cs="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AB94F21"/>
    <w:multiLevelType w:val="hybridMultilevel"/>
    <w:tmpl w:val="9A1215F4"/>
    <w:lvl w:ilvl="0" w:tplc="8A22CD1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280D6A"/>
    <w:multiLevelType w:val="multilevel"/>
    <w:tmpl w:val="91C0EA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C45DBC"/>
    <w:multiLevelType w:val="hybridMultilevel"/>
    <w:tmpl w:val="E6F6EAF6"/>
    <w:lvl w:ilvl="0" w:tplc="A358188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D737A4"/>
    <w:multiLevelType w:val="hybridMultilevel"/>
    <w:tmpl w:val="A4CA7AC8"/>
    <w:lvl w:ilvl="0" w:tplc="BED475D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EE42EA"/>
    <w:multiLevelType w:val="hybridMultilevel"/>
    <w:tmpl w:val="8C843D44"/>
    <w:lvl w:ilvl="0" w:tplc="CF987E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576CC3"/>
    <w:multiLevelType w:val="hybridMultilevel"/>
    <w:tmpl w:val="679E6E64"/>
    <w:lvl w:ilvl="0" w:tplc="84D090D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F7390F"/>
    <w:multiLevelType w:val="hybridMultilevel"/>
    <w:tmpl w:val="4D2AAC34"/>
    <w:lvl w:ilvl="0" w:tplc="B2423C1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6E7529"/>
    <w:multiLevelType w:val="hybridMultilevel"/>
    <w:tmpl w:val="83EEC6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586908"/>
    <w:multiLevelType w:val="hybridMultilevel"/>
    <w:tmpl w:val="85628DEA"/>
    <w:lvl w:ilvl="0" w:tplc="BA9A2DF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EE508C"/>
    <w:multiLevelType w:val="hybridMultilevel"/>
    <w:tmpl w:val="18FE3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23"/>
  </w:num>
  <w:num w:numId="4">
    <w:abstractNumId w:val="8"/>
  </w:num>
  <w:num w:numId="5">
    <w:abstractNumId w:val="16"/>
  </w:num>
  <w:num w:numId="6">
    <w:abstractNumId w:val="17"/>
  </w:num>
  <w:num w:numId="7">
    <w:abstractNumId w:val="27"/>
  </w:num>
  <w:num w:numId="8">
    <w:abstractNumId w:val="7"/>
  </w:num>
  <w:num w:numId="9">
    <w:abstractNumId w:val="10"/>
  </w:num>
  <w:num w:numId="10">
    <w:abstractNumId w:val="29"/>
  </w:num>
  <w:num w:numId="11">
    <w:abstractNumId w:val="3"/>
  </w:num>
  <w:num w:numId="12">
    <w:abstractNumId w:val="4"/>
  </w:num>
  <w:num w:numId="13">
    <w:abstractNumId w:val="11"/>
  </w:num>
  <w:num w:numId="14">
    <w:abstractNumId w:val="6"/>
  </w:num>
  <w:num w:numId="15">
    <w:abstractNumId w:val="19"/>
  </w:num>
  <w:num w:numId="16">
    <w:abstractNumId w:val="20"/>
  </w:num>
  <w:num w:numId="17">
    <w:abstractNumId w:val="26"/>
  </w:num>
  <w:num w:numId="18">
    <w:abstractNumId w:val="5"/>
  </w:num>
  <w:num w:numId="19">
    <w:abstractNumId w:val="25"/>
  </w:num>
  <w:num w:numId="20">
    <w:abstractNumId w:val="13"/>
    <w:lvlOverride w:ilvl="0">
      <w:lvl w:ilvl="0">
        <w:numFmt w:val="bullet"/>
        <w:lvlText w:val=""/>
        <w:lvlJc w:val="left"/>
        <w:pPr>
          <w:tabs>
            <w:tab w:val="num" w:pos="720"/>
          </w:tabs>
          <w:ind w:left="720" w:hanging="360"/>
        </w:pPr>
        <w:rPr>
          <w:rFonts w:ascii="Symbol" w:hAnsi="Symbol" w:hint="default"/>
          <w:sz w:val="20"/>
        </w:rPr>
      </w:lvl>
    </w:lvlOverride>
  </w:num>
  <w:num w:numId="21">
    <w:abstractNumId w:val="22"/>
    <w:lvlOverride w:ilvl="0">
      <w:lvl w:ilvl="0">
        <w:numFmt w:val="bullet"/>
        <w:lvlText w:val=""/>
        <w:lvlJc w:val="left"/>
        <w:pPr>
          <w:tabs>
            <w:tab w:val="num" w:pos="720"/>
          </w:tabs>
          <w:ind w:left="720" w:hanging="360"/>
        </w:pPr>
        <w:rPr>
          <w:rFonts w:ascii="Symbol" w:hAnsi="Symbol" w:hint="default"/>
          <w:sz w:val="20"/>
        </w:rPr>
      </w:lvl>
    </w:lvlOverride>
  </w:num>
  <w:num w:numId="22">
    <w:abstractNumId w:val="21"/>
  </w:num>
  <w:num w:numId="23">
    <w:abstractNumId w:val="30"/>
  </w:num>
  <w:num w:numId="24">
    <w:abstractNumId w:val="14"/>
  </w:num>
  <w:num w:numId="25">
    <w:abstractNumId w:val="28"/>
  </w:num>
  <w:num w:numId="26">
    <w:abstractNumId w:val="0"/>
  </w:num>
  <w:num w:numId="27">
    <w:abstractNumId w:val="1"/>
  </w:num>
  <w:num w:numId="28">
    <w:abstractNumId w:val="18"/>
  </w:num>
  <w:num w:numId="29">
    <w:abstractNumId w:val="12"/>
  </w:num>
  <w:num w:numId="30">
    <w:abstractNumId w:val="2"/>
  </w:num>
  <w:num w:numId="31">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4105">
      <o:colormenu v:ext="edit" fillcolor="none" strokecolor="none [1951]"/>
    </o:shapedefaults>
    <o:shapelayout v:ext="edit">
      <o:idmap v:ext="edit" data="4"/>
    </o:shapelayout>
  </w:hdrShapeDefaults>
  <w:footnotePr>
    <w:footnote w:id="-1"/>
    <w:footnote w:id="0"/>
  </w:footnotePr>
  <w:endnotePr>
    <w:endnote w:id="-1"/>
    <w:endnote w:id="0"/>
  </w:endnotePr>
  <w:compat/>
  <w:rsids>
    <w:rsidRoot w:val="001A49AE"/>
    <w:rsid w:val="00001F26"/>
    <w:rsid w:val="000036BA"/>
    <w:rsid w:val="00005355"/>
    <w:rsid w:val="000103CD"/>
    <w:rsid w:val="00012F89"/>
    <w:rsid w:val="00021BB5"/>
    <w:rsid w:val="00022098"/>
    <w:rsid w:val="000238AC"/>
    <w:rsid w:val="00026825"/>
    <w:rsid w:val="00031913"/>
    <w:rsid w:val="00032898"/>
    <w:rsid w:val="00032D48"/>
    <w:rsid w:val="00035A7B"/>
    <w:rsid w:val="00037674"/>
    <w:rsid w:val="000458BF"/>
    <w:rsid w:val="000517CD"/>
    <w:rsid w:val="0005534A"/>
    <w:rsid w:val="000553F9"/>
    <w:rsid w:val="00057000"/>
    <w:rsid w:val="000654F9"/>
    <w:rsid w:val="00066C33"/>
    <w:rsid w:val="000674D5"/>
    <w:rsid w:val="00067BC6"/>
    <w:rsid w:val="0007270C"/>
    <w:rsid w:val="00072930"/>
    <w:rsid w:val="00075B22"/>
    <w:rsid w:val="00075B7B"/>
    <w:rsid w:val="00076DE8"/>
    <w:rsid w:val="00077B18"/>
    <w:rsid w:val="00084D11"/>
    <w:rsid w:val="00087CB3"/>
    <w:rsid w:val="0009017E"/>
    <w:rsid w:val="00091C87"/>
    <w:rsid w:val="000931BC"/>
    <w:rsid w:val="000940BF"/>
    <w:rsid w:val="00095162"/>
    <w:rsid w:val="0009685B"/>
    <w:rsid w:val="000A1207"/>
    <w:rsid w:val="000A19E1"/>
    <w:rsid w:val="000A2DFA"/>
    <w:rsid w:val="000A5968"/>
    <w:rsid w:val="000A6877"/>
    <w:rsid w:val="000B2831"/>
    <w:rsid w:val="000B4D9B"/>
    <w:rsid w:val="000B69D3"/>
    <w:rsid w:val="000C26F9"/>
    <w:rsid w:val="000C5283"/>
    <w:rsid w:val="000D1646"/>
    <w:rsid w:val="000D60F9"/>
    <w:rsid w:val="000E0503"/>
    <w:rsid w:val="000E07E2"/>
    <w:rsid w:val="000E4017"/>
    <w:rsid w:val="000E72B2"/>
    <w:rsid w:val="000F2739"/>
    <w:rsid w:val="000F40B6"/>
    <w:rsid w:val="000F4705"/>
    <w:rsid w:val="000F7671"/>
    <w:rsid w:val="000F7989"/>
    <w:rsid w:val="00101F32"/>
    <w:rsid w:val="00105EDC"/>
    <w:rsid w:val="001114EC"/>
    <w:rsid w:val="0011279C"/>
    <w:rsid w:val="00112EDF"/>
    <w:rsid w:val="001143FE"/>
    <w:rsid w:val="00122E19"/>
    <w:rsid w:val="00125E0D"/>
    <w:rsid w:val="00126FC9"/>
    <w:rsid w:val="00131054"/>
    <w:rsid w:val="00133BAB"/>
    <w:rsid w:val="00134878"/>
    <w:rsid w:val="001356F1"/>
    <w:rsid w:val="00142332"/>
    <w:rsid w:val="00142FD6"/>
    <w:rsid w:val="0014766A"/>
    <w:rsid w:val="00162D4A"/>
    <w:rsid w:val="00162E92"/>
    <w:rsid w:val="0016664C"/>
    <w:rsid w:val="00167033"/>
    <w:rsid w:val="00173985"/>
    <w:rsid w:val="00174283"/>
    <w:rsid w:val="0017557C"/>
    <w:rsid w:val="00175C1F"/>
    <w:rsid w:val="00181A79"/>
    <w:rsid w:val="00182153"/>
    <w:rsid w:val="00185F44"/>
    <w:rsid w:val="001860B9"/>
    <w:rsid w:val="00191D71"/>
    <w:rsid w:val="00194922"/>
    <w:rsid w:val="001A0C2B"/>
    <w:rsid w:val="001A293F"/>
    <w:rsid w:val="001A49AE"/>
    <w:rsid w:val="001B0BD6"/>
    <w:rsid w:val="001B0C51"/>
    <w:rsid w:val="001B4194"/>
    <w:rsid w:val="001B542E"/>
    <w:rsid w:val="001B5E3B"/>
    <w:rsid w:val="001B6C87"/>
    <w:rsid w:val="001B70DB"/>
    <w:rsid w:val="001B74B7"/>
    <w:rsid w:val="001C147E"/>
    <w:rsid w:val="001C2D5F"/>
    <w:rsid w:val="001C4B1B"/>
    <w:rsid w:val="001C4C4C"/>
    <w:rsid w:val="001C6FB1"/>
    <w:rsid w:val="001C7144"/>
    <w:rsid w:val="001C7A01"/>
    <w:rsid w:val="001D12CF"/>
    <w:rsid w:val="001D44CE"/>
    <w:rsid w:val="001D4B35"/>
    <w:rsid w:val="001D586F"/>
    <w:rsid w:val="001D666F"/>
    <w:rsid w:val="001E1870"/>
    <w:rsid w:val="001E5F9F"/>
    <w:rsid w:val="001E770C"/>
    <w:rsid w:val="001E7BC3"/>
    <w:rsid w:val="001F317F"/>
    <w:rsid w:val="001F4301"/>
    <w:rsid w:val="002004EC"/>
    <w:rsid w:val="0020276F"/>
    <w:rsid w:val="002036C5"/>
    <w:rsid w:val="00203A78"/>
    <w:rsid w:val="00204116"/>
    <w:rsid w:val="00204FA7"/>
    <w:rsid w:val="002057AB"/>
    <w:rsid w:val="002069F5"/>
    <w:rsid w:val="00207E27"/>
    <w:rsid w:val="00211824"/>
    <w:rsid w:val="002160D3"/>
    <w:rsid w:val="002178F4"/>
    <w:rsid w:val="002211A0"/>
    <w:rsid w:val="002240FF"/>
    <w:rsid w:val="002241F3"/>
    <w:rsid w:val="00224796"/>
    <w:rsid w:val="00225FE9"/>
    <w:rsid w:val="00226E85"/>
    <w:rsid w:val="00230040"/>
    <w:rsid w:val="00231ED1"/>
    <w:rsid w:val="00232CC3"/>
    <w:rsid w:val="00235062"/>
    <w:rsid w:val="0023536C"/>
    <w:rsid w:val="00236370"/>
    <w:rsid w:val="00236F9F"/>
    <w:rsid w:val="00237BDC"/>
    <w:rsid w:val="00245FEB"/>
    <w:rsid w:val="002501E2"/>
    <w:rsid w:val="00252203"/>
    <w:rsid w:val="00254585"/>
    <w:rsid w:val="00257170"/>
    <w:rsid w:val="0026048F"/>
    <w:rsid w:val="002608D6"/>
    <w:rsid w:val="00260B67"/>
    <w:rsid w:val="00261365"/>
    <w:rsid w:val="00265792"/>
    <w:rsid w:val="00266E31"/>
    <w:rsid w:val="0026787D"/>
    <w:rsid w:val="00267DA0"/>
    <w:rsid w:val="002734CB"/>
    <w:rsid w:val="0027646A"/>
    <w:rsid w:val="00277BF0"/>
    <w:rsid w:val="00280855"/>
    <w:rsid w:val="002808B8"/>
    <w:rsid w:val="00285FF6"/>
    <w:rsid w:val="002908E3"/>
    <w:rsid w:val="002910D6"/>
    <w:rsid w:val="002932A0"/>
    <w:rsid w:val="00294163"/>
    <w:rsid w:val="00294F66"/>
    <w:rsid w:val="00297138"/>
    <w:rsid w:val="002A032D"/>
    <w:rsid w:val="002A644F"/>
    <w:rsid w:val="002A6834"/>
    <w:rsid w:val="002A7ACF"/>
    <w:rsid w:val="002B2EAA"/>
    <w:rsid w:val="002B3B71"/>
    <w:rsid w:val="002B5156"/>
    <w:rsid w:val="002B6CB1"/>
    <w:rsid w:val="002C1753"/>
    <w:rsid w:val="002C67C1"/>
    <w:rsid w:val="002C6B1C"/>
    <w:rsid w:val="002D1E0C"/>
    <w:rsid w:val="002D3544"/>
    <w:rsid w:val="002D3658"/>
    <w:rsid w:val="002D75F4"/>
    <w:rsid w:val="002E21F4"/>
    <w:rsid w:val="002E6CFE"/>
    <w:rsid w:val="002F030A"/>
    <w:rsid w:val="002F27C7"/>
    <w:rsid w:val="002F2A29"/>
    <w:rsid w:val="002F38A5"/>
    <w:rsid w:val="002F4D2A"/>
    <w:rsid w:val="002F644B"/>
    <w:rsid w:val="0030058C"/>
    <w:rsid w:val="00300E9B"/>
    <w:rsid w:val="003017A1"/>
    <w:rsid w:val="00303BF4"/>
    <w:rsid w:val="00306286"/>
    <w:rsid w:val="00307F9A"/>
    <w:rsid w:val="00314199"/>
    <w:rsid w:val="003278F2"/>
    <w:rsid w:val="00334540"/>
    <w:rsid w:val="00336FEF"/>
    <w:rsid w:val="0033701A"/>
    <w:rsid w:val="003412E6"/>
    <w:rsid w:val="00344E42"/>
    <w:rsid w:val="00345FE5"/>
    <w:rsid w:val="003512E4"/>
    <w:rsid w:val="00351C23"/>
    <w:rsid w:val="003556DB"/>
    <w:rsid w:val="003561C2"/>
    <w:rsid w:val="00362B7B"/>
    <w:rsid w:val="0036675A"/>
    <w:rsid w:val="00366C9C"/>
    <w:rsid w:val="00367692"/>
    <w:rsid w:val="00370141"/>
    <w:rsid w:val="003741A6"/>
    <w:rsid w:val="003746B0"/>
    <w:rsid w:val="0038431C"/>
    <w:rsid w:val="00393F9D"/>
    <w:rsid w:val="003950A0"/>
    <w:rsid w:val="00396517"/>
    <w:rsid w:val="00396926"/>
    <w:rsid w:val="003A20CF"/>
    <w:rsid w:val="003A262D"/>
    <w:rsid w:val="003A39B8"/>
    <w:rsid w:val="003A7310"/>
    <w:rsid w:val="003B05C3"/>
    <w:rsid w:val="003B4575"/>
    <w:rsid w:val="003C5B47"/>
    <w:rsid w:val="003C6015"/>
    <w:rsid w:val="003D1913"/>
    <w:rsid w:val="003E0674"/>
    <w:rsid w:val="003E3CF4"/>
    <w:rsid w:val="003E4F7E"/>
    <w:rsid w:val="003E6538"/>
    <w:rsid w:val="003F0271"/>
    <w:rsid w:val="003F697F"/>
    <w:rsid w:val="003F6F56"/>
    <w:rsid w:val="003F7B76"/>
    <w:rsid w:val="003F7EF4"/>
    <w:rsid w:val="004012B7"/>
    <w:rsid w:val="00404BC2"/>
    <w:rsid w:val="00406783"/>
    <w:rsid w:val="00407014"/>
    <w:rsid w:val="0041138B"/>
    <w:rsid w:val="00412C48"/>
    <w:rsid w:val="00421D82"/>
    <w:rsid w:val="004241F6"/>
    <w:rsid w:val="00424D18"/>
    <w:rsid w:val="0043005F"/>
    <w:rsid w:val="0043141C"/>
    <w:rsid w:val="00431B7D"/>
    <w:rsid w:val="00434497"/>
    <w:rsid w:val="00440548"/>
    <w:rsid w:val="00445105"/>
    <w:rsid w:val="00446DFA"/>
    <w:rsid w:val="004529FC"/>
    <w:rsid w:val="004548F1"/>
    <w:rsid w:val="00456683"/>
    <w:rsid w:val="00463B93"/>
    <w:rsid w:val="00464AB3"/>
    <w:rsid w:val="004651BE"/>
    <w:rsid w:val="0047186A"/>
    <w:rsid w:val="0047480F"/>
    <w:rsid w:val="00475E45"/>
    <w:rsid w:val="00476F59"/>
    <w:rsid w:val="004842B9"/>
    <w:rsid w:val="004847E5"/>
    <w:rsid w:val="00487230"/>
    <w:rsid w:val="00492B06"/>
    <w:rsid w:val="00493208"/>
    <w:rsid w:val="0049324C"/>
    <w:rsid w:val="004979AF"/>
    <w:rsid w:val="00497B37"/>
    <w:rsid w:val="00497B57"/>
    <w:rsid w:val="004A04AB"/>
    <w:rsid w:val="004A3B37"/>
    <w:rsid w:val="004A5AAE"/>
    <w:rsid w:val="004B5277"/>
    <w:rsid w:val="004C0063"/>
    <w:rsid w:val="004C2D1D"/>
    <w:rsid w:val="004C3084"/>
    <w:rsid w:val="004C4B14"/>
    <w:rsid w:val="004C6076"/>
    <w:rsid w:val="004C743D"/>
    <w:rsid w:val="004C746A"/>
    <w:rsid w:val="004D0C44"/>
    <w:rsid w:val="004D1C16"/>
    <w:rsid w:val="004D2A32"/>
    <w:rsid w:val="004D33BF"/>
    <w:rsid w:val="004D415A"/>
    <w:rsid w:val="004E0DAC"/>
    <w:rsid w:val="004E1CC2"/>
    <w:rsid w:val="004F0386"/>
    <w:rsid w:val="004F1CA8"/>
    <w:rsid w:val="004F4209"/>
    <w:rsid w:val="00500ED6"/>
    <w:rsid w:val="00506097"/>
    <w:rsid w:val="0051128A"/>
    <w:rsid w:val="005115C4"/>
    <w:rsid w:val="0051346E"/>
    <w:rsid w:val="0051720E"/>
    <w:rsid w:val="00521891"/>
    <w:rsid w:val="005241A9"/>
    <w:rsid w:val="00527066"/>
    <w:rsid w:val="00532C7E"/>
    <w:rsid w:val="00535C97"/>
    <w:rsid w:val="00537AFD"/>
    <w:rsid w:val="005420A8"/>
    <w:rsid w:val="00544149"/>
    <w:rsid w:val="005448F7"/>
    <w:rsid w:val="005501A9"/>
    <w:rsid w:val="00550DB3"/>
    <w:rsid w:val="005515A2"/>
    <w:rsid w:val="00551C52"/>
    <w:rsid w:val="005556A2"/>
    <w:rsid w:val="00556A00"/>
    <w:rsid w:val="00557289"/>
    <w:rsid w:val="00557367"/>
    <w:rsid w:val="00562569"/>
    <w:rsid w:val="00564935"/>
    <w:rsid w:val="0057358A"/>
    <w:rsid w:val="00576109"/>
    <w:rsid w:val="0058498C"/>
    <w:rsid w:val="00584EAA"/>
    <w:rsid w:val="00590F9C"/>
    <w:rsid w:val="00591CEE"/>
    <w:rsid w:val="00592254"/>
    <w:rsid w:val="0059391F"/>
    <w:rsid w:val="0059790A"/>
    <w:rsid w:val="005A5486"/>
    <w:rsid w:val="005B0EA6"/>
    <w:rsid w:val="005B2388"/>
    <w:rsid w:val="005B5938"/>
    <w:rsid w:val="005C1B0C"/>
    <w:rsid w:val="005C1D13"/>
    <w:rsid w:val="005C33B7"/>
    <w:rsid w:val="005C5F14"/>
    <w:rsid w:val="005D231D"/>
    <w:rsid w:val="005D2EE9"/>
    <w:rsid w:val="005D4CDE"/>
    <w:rsid w:val="005D6FC4"/>
    <w:rsid w:val="005D72CC"/>
    <w:rsid w:val="005F07EB"/>
    <w:rsid w:val="005F21F7"/>
    <w:rsid w:val="005F26F6"/>
    <w:rsid w:val="005F3575"/>
    <w:rsid w:val="005F3A77"/>
    <w:rsid w:val="005F7447"/>
    <w:rsid w:val="00602FED"/>
    <w:rsid w:val="00605644"/>
    <w:rsid w:val="006138CE"/>
    <w:rsid w:val="00614C19"/>
    <w:rsid w:val="00622027"/>
    <w:rsid w:val="006226DD"/>
    <w:rsid w:val="00630618"/>
    <w:rsid w:val="006318C0"/>
    <w:rsid w:val="00633154"/>
    <w:rsid w:val="00633672"/>
    <w:rsid w:val="00633E03"/>
    <w:rsid w:val="00636F9A"/>
    <w:rsid w:val="00644031"/>
    <w:rsid w:val="00650A44"/>
    <w:rsid w:val="00655D34"/>
    <w:rsid w:val="00655E15"/>
    <w:rsid w:val="0065792C"/>
    <w:rsid w:val="00657A0B"/>
    <w:rsid w:val="0066535D"/>
    <w:rsid w:val="006660B7"/>
    <w:rsid w:val="006666DB"/>
    <w:rsid w:val="00666AD2"/>
    <w:rsid w:val="00667D45"/>
    <w:rsid w:val="0068055B"/>
    <w:rsid w:val="006810A0"/>
    <w:rsid w:val="00681D7E"/>
    <w:rsid w:val="006823A0"/>
    <w:rsid w:val="0068260E"/>
    <w:rsid w:val="00682EDE"/>
    <w:rsid w:val="0068687E"/>
    <w:rsid w:val="00686BFC"/>
    <w:rsid w:val="00686E99"/>
    <w:rsid w:val="00687F7E"/>
    <w:rsid w:val="00693EEE"/>
    <w:rsid w:val="00694504"/>
    <w:rsid w:val="006A35EC"/>
    <w:rsid w:val="006A5817"/>
    <w:rsid w:val="006A5C1B"/>
    <w:rsid w:val="006B4A5E"/>
    <w:rsid w:val="006B5A60"/>
    <w:rsid w:val="006B6C6D"/>
    <w:rsid w:val="006B7DFA"/>
    <w:rsid w:val="006C1662"/>
    <w:rsid w:val="006C3E6D"/>
    <w:rsid w:val="006C50A0"/>
    <w:rsid w:val="006C6588"/>
    <w:rsid w:val="006C6B39"/>
    <w:rsid w:val="006D0260"/>
    <w:rsid w:val="006E14B0"/>
    <w:rsid w:val="006E3049"/>
    <w:rsid w:val="006E374E"/>
    <w:rsid w:val="006E53F7"/>
    <w:rsid w:val="006E714E"/>
    <w:rsid w:val="006F0C66"/>
    <w:rsid w:val="006F14E2"/>
    <w:rsid w:val="006F359E"/>
    <w:rsid w:val="006F73FB"/>
    <w:rsid w:val="007023B0"/>
    <w:rsid w:val="00706AE9"/>
    <w:rsid w:val="00720554"/>
    <w:rsid w:val="007211C9"/>
    <w:rsid w:val="00722794"/>
    <w:rsid w:val="00725272"/>
    <w:rsid w:val="00726CF4"/>
    <w:rsid w:val="007271F4"/>
    <w:rsid w:val="00731597"/>
    <w:rsid w:val="00735007"/>
    <w:rsid w:val="007356C1"/>
    <w:rsid w:val="00735FB7"/>
    <w:rsid w:val="007377CD"/>
    <w:rsid w:val="007415A2"/>
    <w:rsid w:val="0074728C"/>
    <w:rsid w:val="007546E5"/>
    <w:rsid w:val="00756897"/>
    <w:rsid w:val="0076017A"/>
    <w:rsid w:val="0076116F"/>
    <w:rsid w:val="00762D20"/>
    <w:rsid w:val="00765030"/>
    <w:rsid w:val="00770218"/>
    <w:rsid w:val="007705F9"/>
    <w:rsid w:val="00771EEF"/>
    <w:rsid w:val="0077273F"/>
    <w:rsid w:val="007776A3"/>
    <w:rsid w:val="00781E56"/>
    <w:rsid w:val="00781F98"/>
    <w:rsid w:val="007833DA"/>
    <w:rsid w:val="0078424E"/>
    <w:rsid w:val="00790A6E"/>
    <w:rsid w:val="00793C85"/>
    <w:rsid w:val="0079573A"/>
    <w:rsid w:val="0079658A"/>
    <w:rsid w:val="007A00B1"/>
    <w:rsid w:val="007A1054"/>
    <w:rsid w:val="007A75F1"/>
    <w:rsid w:val="007B1C32"/>
    <w:rsid w:val="007B1C6B"/>
    <w:rsid w:val="007B3534"/>
    <w:rsid w:val="007B3826"/>
    <w:rsid w:val="007B4C53"/>
    <w:rsid w:val="007B60E5"/>
    <w:rsid w:val="007C089B"/>
    <w:rsid w:val="007C3FAC"/>
    <w:rsid w:val="007C4C59"/>
    <w:rsid w:val="007C795B"/>
    <w:rsid w:val="007D07C4"/>
    <w:rsid w:val="007E1921"/>
    <w:rsid w:val="007E319D"/>
    <w:rsid w:val="007F0041"/>
    <w:rsid w:val="007F1A8F"/>
    <w:rsid w:val="007F35AE"/>
    <w:rsid w:val="007F6C93"/>
    <w:rsid w:val="007F7A59"/>
    <w:rsid w:val="008044E1"/>
    <w:rsid w:val="00805E16"/>
    <w:rsid w:val="00807397"/>
    <w:rsid w:val="008114B9"/>
    <w:rsid w:val="00811A87"/>
    <w:rsid w:val="00815B23"/>
    <w:rsid w:val="00817C0C"/>
    <w:rsid w:val="0082139F"/>
    <w:rsid w:val="00824CB0"/>
    <w:rsid w:val="00825489"/>
    <w:rsid w:val="0082593B"/>
    <w:rsid w:val="00832CC3"/>
    <w:rsid w:val="0083442B"/>
    <w:rsid w:val="00841D9E"/>
    <w:rsid w:val="008465C6"/>
    <w:rsid w:val="00850383"/>
    <w:rsid w:val="008542CD"/>
    <w:rsid w:val="00854439"/>
    <w:rsid w:val="008571FA"/>
    <w:rsid w:val="008607D6"/>
    <w:rsid w:val="00864B7D"/>
    <w:rsid w:val="008766CF"/>
    <w:rsid w:val="0087701B"/>
    <w:rsid w:val="00877A45"/>
    <w:rsid w:val="00890C53"/>
    <w:rsid w:val="00892995"/>
    <w:rsid w:val="008947B8"/>
    <w:rsid w:val="008A0367"/>
    <w:rsid w:val="008A4334"/>
    <w:rsid w:val="008A447D"/>
    <w:rsid w:val="008B1777"/>
    <w:rsid w:val="008B7F12"/>
    <w:rsid w:val="008C29E6"/>
    <w:rsid w:val="008C479E"/>
    <w:rsid w:val="008E24F1"/>
    <w:rsid w:val="008F034E"/>
    <w:rsid w:val="008F34D6"/>
    <w:rsid w:val="008F582A"/>
    <w:rsid w:val="00902A9B"/>
    <w:rsid w:val="00910F3B"/>
    <w:rsid w:val="009158B8"/>
    <w:rsid w:val="00916D37"/>
    <w:rsid w:val="00917173"/>
    <w:rsid w:val="009177F5"/>
    <w:rsid w:val="00920F3A"/>
    <w:rsid w:val="00924F05"/>
    <w:rsid w:val="00933418"/>
    <w:rsid w:val="00934BD4"/>
    <w:rsid w:val="0093666D"/>
    <w:rsid w:val="0094263A"/>
    <w:rsid w:val="009515DC"/>
    <w:rsid w:val="00951825"/>
    <w:rsid w:val="00953728"/>
    <w:rsid w:val="00953C5A"/>
    <w:rsid w:val="0096140B"/>
    <w:rsid w:val="00963FB9"/>
    <w:rsid w:val="0096536E"/>
    <w:rsid w:val="0096596F"/>
    <w:rsid w:val="0097559D"/>
    <w:rsid w:val="00976767"/>
    <w:rsid w:val="00982DEA"/>
    <w:rsid w:val="00983D4F"/>
    <w:rsid w:val="00983F08"/>
    <w:rsid w:val="009841BE"/>
    <w:rsid w:val="00985EC6"/>
    <w:rsid w:val="009A1E26"/>
    <w:rsid w:val="009A2A5D"/>
    <w:rsid w:val="009A2BD8"/>
    <w:rsid w:val="009B1E80"/>
    <w:rsid w:val="009B26E4"/>
    <w:rsid w:val="009B2C9B"/>
    <w:rsid w:val="009B5543"/>
    <w:rsid w:val="009C3BD1"/>
    <w:rsid w:val="009C5B4F"/>
    <w:rsid w:val="009D4D9B"/>
    <w:rsid w:val="009D5454"/>
    <w:rsid w:val="009D5772"/>
    <w:rsid w:val="009E10B3"/>
    <w:rsid w:val="009E32F8"/>
    <w:rsid w:val="009E6F83"/>
    <w:rsid w:val="009F4507"/>
    <w:rsid w:val="00A01CD3"/>
    <w:rsid w:val="00A03578"/>
    <w:rsid w:val="00A05433"/>
    <w:rsid w:val="00A05F47"/>
    <w:rsid w:val="00A132E2"/>
    <w:rsid w:val="00A15EFF"/>
    <w:rsid w:val="00A22135"/>
    <w:rsid w:val="00A2271C"/>
    <w:rsid w:val="00A24873"/>
    <w:rsid w:val="00A25135"/>
    <w:rsid w:val="00A262A8"/>
    <w:rsid w:val="00A26F7F"/>
    <w:rsid w:val="00A271A0"/>
    <w:rsid w:val="00A273F1"/>
    <w:rsid w:val="00A3047C"/>
    <w:rsid w:val="00A5086B"/>
    <w:rsid w:val="00A5492B"/>
    <w:rsid w:val="00A60B6E"/>
    <w:rsid w:val="00A625BF"/>
    <w:rsid w:val="00A633B9"/>
    <w:rsid w:val="00A64429"/>
    <w:rsid w:val="00A64463"/>
    <w:rsid w:val="00A64584"/>
    <w:rsid w:val="00A67769"/>
    <w:rsid w:val="00A67EB7"/>
    <w:rsid w:val="00A7361C"/>
    <w:rsid w:val="00A73A7D"/>
    <w:rsid w:val="00A76D92"/>
    <w:rsid w:val="00A81F60"/>
    <w:rsid w:val="00A83011"/>
    <w:rsid w:val="00A85737"/>
    <w:rsid w:val="00A877BD"/>
    <w:rsid w:val="00A87E54"/>
    <w:rsid w:val="00A902C1"/>
    <w:rsid w:val="00A96F0C"/>
    <w:rsid w:val="00A97C03"/>
    <w:rsid w:val="00AA1D1B"/>
    <w:rsid w:val="00AA29FA"/>
    <w:rsid w:val="00AA588C"/>
    <w:rsid w:val="00AB0DF3"/>
    <w:rsid w:val="00AB1AE5"/>
    <w:rsid w:val="00AB1B37"/>
    <w:rsid w:val="00AB301F"/>
    <w:rsid w:val="00AB4536"/>
    <w:rsid w:val="00AB6A8D"/>
    <w:rsid w:val="00AB7A80"/>
    <w:rsid w:val="00AB7CA7"/>
    <w:rsid w:val="00AC2B89"/>
    <w:rsid w:val="00AC3208"/>
    <w:rsid w:val="00AD0A0F"/>
    <w:rsid w:val="00AD3D71"/>
    <w:rsid w:val="00AD43CC"/>
    <w:rsid w:val="00AD65F3"/>
    <w:rsid w:val="00AE0969"/>
    <w:rsid w:val="00AE0C34"/>
    <w:rsid w:val="00AE2A75"/>
    <w:rsid w:val="00AF0F2D"/>
    <w:rsid w:val="00AF2EAF"/>
    <w:rsid w:val="00B03DC9"/>
    <w:rsid w:val="00B04364"/>
    <w:rsid w:val="00B102CA"/>
    <w:rsid w:val="00B105B2"/>
    <w:rsid w:val="00B15A6C"/>
    <w:rsid w:val="00B24F25"/>
    <w:rsid w:val="00B26E30"/>
    <w:rsid w:val="00B30328"/>
    <w:rsid w:val="00B34D73"/>
    <w:rsid w:val="00B351B8"/>
    <w:rsid w:val="00B36FD8"/>
    <w:rsid w:val="00B45ED1"/>
    <w:rsid w:val="00B51703"/>
    <w:rsid w:val="00B54104"/>
    <w:rsid w:val="00B54FFF"/>
    <w:rsid w:val="00B64200"/>
    <w:rsid w:val="00B65025"/>
    <w:rsid w:val="00B671BF"/>
    <w:rsid w:val="00B67F5B"/>
    <w:rsid w:val="00B80DEA"/>
    <w:rsid w:val="00B83F06"/>
    <w:rsid w:val="00B841AB"/>
    <w:rsid w:val="00B96917"/>
    <w:rsid w:val="00B97614"/>
    <w:rsid w:val="00B97F6E"/>
    <w:rsid w:val="00BA2309"/>
    <w:rsid w:val="00BA3D48"/>
    <w:rsid w:val="00BA4586"/>
    <w:rsid w:val="00BA55B7"/>
    <w:rsid w:val="00BB3B19"/>
    <w:rsid w:val="00BB3D25"/>
    <w:rsid w:val="00BB6829"/>
    <w:rsid w:val="00BB72F0"/>
    <w:rsid w:val="00BB7B19"/>
    <w:rsid w:val="00BB7D22"/>
    <w:rsid w:val="00BC089D"/>
    <w:rsid w:val="00BC361C"/>
    <w:rsid w:val="00BC64E9"/>
    <w:rsid w:val="00BC6D56"/>
    <w:rsid w:val="00BD1C59"/>
    <w:rsid w:val="00BD3520"/>
    <w:rsid w:val="00BD49DC"/>
    <w:rsid w:val="00BD5A35"/>
    <w:rsid w:val="00BD6D27"/>
    <w:rsid w:val="00BE0482"/>
    <w:rsid w:val="00BE0866"/>
    <w:rsid w:val="00BE20DD"/>
    <w:rsid w:val="00BE5E84"/>
    <w:rsid w:val="00BE7CC9"/>
    <w:rsid w:val="00BF01E5"/>
    <w:rsid w:val="00BF0C6E"/>
    <w:rsid w:val="00BF2719"/>
    <w:rsid w:val="00BF69F3"/>
    <w:rsid w:val="00C03063"/>
    <w:rsid w:val="00C0535D"/>
    <w:rsid w:val="00C133B5"/>
    <w:rsid w:val="00C14966"/>
    <w:rsid w:val="00C15F27"/>
    <w:rsid w:val="00C17F3B"/>
    <w:rsid w:val="00C21DBC"/>
    <w:rsid w:val="00C22E14"/>
    <w:rsid w:val="00C26448"/>
    <w:rsid w:val="00C268D9"/>
    <w:rsid w:val="00C30F2D"/>
    <w:rsid w:val="00C31704"/>
    <w:rsid w:val="00C31F66"/>
    <w:rsid w:val="00C44AC8"/>
    <w:rsid w:val="00C4507A"/>
    <w:rsid w:val="00C52531"/>
    <w:rsid w:val="00C5686E"/>
    <w:rsid w:val="00C56D6C"/>
    <w:rsid w:val="00C57A67"/>
    <w:rsid w:val="00C606D0"/>
    <w:rsid w:val="00C614EA"/>
    <w:rsid w:val="00C62C17"/>
    <w:rsid w:val="00C70B43"/>
    <w:rsid w:val="00C7220A"/>
    <w:rsid w:val="00C76418"/>
    <w:rsid w:val="00C77541"/>
    <w:rsid w:val="00C84847"/>
    <w:rsid w:val="00C86E43"/>
    <w:rsid w:val="00C928B9"/>
    <w:rsid w:val="00C975AA"/>
    <w:rsid w:val="00CA0090"/>
    <w:rsid w:val="00CA1937"/>
    <w:rsid w:val="00CB03C8"/>
    <w:rsid w:val="00CB6382"/>
    <w:rsid w:val="00CC2A43"/>
    <w:rsid w:val="00CD18A1"/>
    <w:rsid w:val="00CD525F"/>
    <w:rsid w:val="00CD63D6"/>
    <w:rsid w:val="00CD7324"/>
    <w:rsid w:val="00CF03B8"/>
    <w:rsid w:val="00CF2784"/>
    <w:rsid w:val="00CF6CE6"/>
    <w:rsid w:val="00D049E5"/>
    <w:rsid w:val="00D06581"/>
    <w:rsid w:val="00D06C9C"/>
    <w:rsid w:val="00D16DB7"/>
    <w:rsid w:val="00D17B23"/>
    <w:rsid w:val="00D206B5"/>
    <w:rsid w:val="00D22047"/>
    <w:rsid w:val="00D33863"/>
    <w:rsid w:val="00D34073"/>
    <w:rsid w:val="00D3537B"/>
    <w:rsid w:val="00D3571F"/>
    <w:rsid w:val="00D35785"/>
    <w:rsid w:val="00D42014"/>
    <w:rsid w:val="00D57B36"/>
    <w:rsid w:val="00D6466F"/>
    <w:rsid w:val="00D7198C"/>
    <w:rsid w:val="00D72227"/>
    <w:rsid w:val="00D74F40"/>
    <w:rsid w:val="00D90302"/>
    <w:rsid w:val="00D96A9D"/>
    <w:rsid w:val="00D97047"/>
    <w:rsid w:val="00DA5FE2"/>
    <w:rsid w:val="00DA69B9"/>
    <w:rsid w:val="00DB009A"/>
    <w:rsid w:val="00DB20A5"/>
    <w:rsid w:val="00DB3272"/>
    <w:rsid w:val="00DB63E7"/>
    <w:rsid w:val="00DB7E70"/>
    <w:rsid w:val="00DC21AF"/>
    <w:rsid w:val="00DC25B7"/>
    <w:rsid w:val="00DC7A7E"/>
    <w:rsid w:val="00DD55E4"/>
    <w:rsid w:val="00DD6814"/>
    <w:rsid w:val="00DE0030"/>
    <w:rsid w:val="00DE184B"/>
    <w:rsid w:val="00DE1E88"/>
    <w:rsid w:val="00DE5527"/>
    <w:rsid w:val="00DE6021"/>
    <w:rsid w:val="00DF27A7"/>
    <w:rsid w:val="00DF4E25"/>
    <w:rsid w:val="00E04B0E"/>
    <w:rsid w:val="00E05B59"/>
    <w:rsid w:val="00E07446"/>
    <w:rsid w:val="00E07EE0"/>
    <w:rsid w:val="00E101F1"/>
    <w:rsid w:val="00E11EE8"/>
    <w:rsid w:val="00E1269A"/>
    <w:rsid w:val="00E14EC8"/>
    <w:rsid w:val="00E1642E"/>
    <w:rsid w:val="00E169B7"/>
    <w:rsid w:val="00E16D22"/>
    <w:rsid w:val="00E208DC"/>
    <w:rsid w:val="00E23183"/>
    <w:rsid w:val="00E24D8A"/>
    <w:rsid w:val="00E263A1"/>
    <w:rsid w:val="00E26DDF"/>
    <w:rsid w:val="00E27EA1"/>
    <w:rsid w:val="00E33E74"/>
    <w:rsid w:val="00E366B6"/>
    <w:rsid w:val="00E36B79"/>
    <w:rsid w:val="00E53D05"/>
    <w:rsid w:val="00E562F3"/>
    <w:rsid w:val="00E60873"/>
    <w:rsid w:val="00E62119"/>
    <w:rsid w:val="00E62823"/>
    <w:rsid w:val="00E65EC2"/>
    <w:rsid w:val="00E67805"/>
    <w:rsid w:val="00E74A2C"/>
    <w:rsid w:val="00E7512C"/>
    <w:rsid w:val="00E8314F"/>
    <w:rsid w:val="00E872C2"/>
    <w:rsid w:val="00E90D38"/>
    <w:rsid w:val="00E92761"/>
    <w:rsid w:val="00E94C68"/>
    <w:rsid w:val="00E96F82"/>
    <w:rsid w:val="00EA15D1"/>
    <w:rsid w:val="00EA1C23"/>
    <w:rsid w:val="00EA2779"/>
    <w:rsid w:val="00EB0E6F"/>
    <w:rsid w:val="00EB10E1"/>
    <w:rsid w:val="00EB2605"/>
    <w:rsid w:val="00EB59B4"/>
    <w:rsid w:val="00EB7ACD"/>
    <w:rsid w:val="00EC0600"/>
    <w:rsid w:val="00EC735A"/>
    <w:rsid w:val="00EE0ADA"/>
    <w:rsid w:val="00EE130A"/>
    <w:rsid w:val="00EE1450"/>
    <w:rsid w:val="00EE37B2"/>
    <w:rsid w:val="00EE3A06"/>
    <w:rsid w:val="00EE4871"/>
    <w:rsid w:val="00EE489A"/>
    <w:rsid w:val="00EF3A5F"/>
    <w:rsid w:val="00EF4DC7"/>
    <w:rsid w:val="00EF547F"/>
    <w:rsid w:val="00F0273E"/>
    <w:rsid w:val="00F028E3"/>
    <w:rsid w:val="00F02EB4"/>
    <w:rsid w:val="00F05AE7"/>
    <w:rsid w:val="00F10880"/>
    <w:rsid w:val="00F17576"/>
    <w:rsid w:val="00F23AF1"/>
    <w:rsid w:val="00F31C72"/>
    <w:rsid w:val="00F32AAB"/>
    <w:rsid w:val="00F35201"/>
    <w:rsid w:val="00F3589A"/>
    <w:rsid w:val="00F358DD"/>
    <w:rsid w:val="00F411B0"/>
    <w:rsid w:val="00F44F70"/>
    <w:rsid w:val="00F52E10"/>
    <w:rsid w:val="00F5308E"/>
    <w:rsid w:val="00F62596"/>
    <w:rsid w:val="00F71A63"/>
    <w:rsid w:val="00F7510A"/>
    <w:rsid w:val="00F80327"/>
    <w:rsid w:val="00F8075F"/>
    <w:rsid w:val="00F80B6F"/>
    <w:rsid w:val="00F814FC"/>
    <w:rsid w:val="00F8171A"/>
    <w:rsid w:val="00F83691"/>
    <w:rsid w:val="00F84D63"/>
    <w:rsid w:val="00F95728"/>
    <w:rsid w:val="00F965E1"/>
    <w:rsid w:val="00F968A5"/>
    <w:rsid w:val="00FA18B2"/>
    <w:rsid w:val="00FA2219"/>
    <w:rsid w:val="00FA24AA"/>
    <w:rsid w:val="00FA3431"/>
    <w:rsid w:val="00FB198F"/>
    <w:rsid w:val="00FB373F"/>
    <w:rsid w:val="00FB479D"/>
    <w:rsid w:val="00FC1879"/>
    <w:rsid w:val="00FD084F"/>
    <w:rsid w:val="00FD6A44"/>
    <w:rsid w:val="00FD70EE"/>
    <w:rsid w:val="00FD7EA8"/>
    <w:rsid w:val="00FE5BC9"/>
    <w:rsid w:val="00FF1628"/>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5">
      <o:colormenu v:ext="edit" fillcolor="none" strokecolor="none [195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paragraph" w:styleId="Heading2">
    <w:name w:val="heading 2"/>
    <w:basedOn w:val="Normal"/>
    <w:next w:val="Normal"/>
    <w:link w:val="Heading2Char"/>
    <w:uiPriority w:val="9"/>
    <w:unhideWhenUsed/>
    <w:qFormat/>
    <w:rsid w:val="008544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unhideWhenUsed/>
    <w:qFormat/>
    <w:rsid w:val="00B15A6C"/>
    <w:pPr>
      <w:spacing w:before="100" w:beforeAutospacing="1" w:after="100" w:afterAutospacing="1" w:line="240" w:lineRule="auto"/>
      <w:outlineLvl w:val="3"/>
    </w:pPr>
    <w:rPr>
      <w:rFonts w:ascii="Times New Roman" w:eastAsiaTheme="minorHAnsi"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link w:val="ListParagraphChar"/>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table" w:styleId="LightGrid-Accent6">
    <w:name w:val="Light Grid Accent 6"/>
    <w:basedOn w:val="TableNormal"/>
    <w:uiPriority w:val="62"/>
    <w:rsid w:val="0025717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uiPriority w:val="67"/>
    <w:rsid w:val="0094263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5">
    <w:name w:val="Medium Grid 1 Accent 5"/>
    <w:basedOn w:val="TableNormal"/>
    <w:uiPriority w:val="67"/>
    <w:rsid w:val="0023004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4Char">
    <w:name w:val="Heading 4 Char"/>
    <w:basedOn w:val="DefaultParagraphFont"/>
    <w:link w:val="Heading4"/>
    <w:uiPriority w:val="9"/>
    <w:rsid w:val="00B15A6C"/>
    <w:rPr>
      <w:rFonts w:ascii="Times New Roman" w:eastAsiaTheme="minorHAnsi" w:hAnsi="Times New Roman"/>
      <w:b/>
      <w:bCs/>
      <w:sz w:val="24"/>
      <w:szCs w:val="24"/>
      <w:lang w:val="en-US" w:eastAsia="en-US"/>
    </w:rPr>
  </w:style>
  <w:style w:type="paragraph" w:customStyle="1" w:styleId="Default">
    <w:name w:val="Default"/>
    <w:basedOn w:val="Normal"/>
    <w:rsid w:val="0047480F"/>
    <w:pPr>
      <w:autoSpaceDE w:val="0"/>
      <w:autoSpaceDN w:val="0"/>
      <w:spacing w:after="0" w:line="240" w:lineRule="auto"/>
    </w:pPr>
    <w:rPr>
      <w:rFonts w:ascii="Times New Roman" w:eastAsiaTheme="minorHAnsi" w:hAnsi="Times New Roman"/>
      <w:color w:val="000000"/>
      <w:sz w:val="24"/>
      <w:szCs w:val="24"/>
    </w:rPr>
  </w:style>
  <w:style w:type="character" w:customStyle="1" w:styleId="Heading2Char">
    <w:name w:val="Heading 2 Char"/>
    <w:basedOn w:val="DefaultParagraphFont"/>
    <w:link w:val="Heading2"/>
    <w:uiPriority w:val="9"/>
    <w:rsid w:val="00854439"/>
    <w:rPr>
      <w:rFonts w:asciiTheme="majorHAnsi" w:eastAsiaTheme="majorEastAsia" w:hAnsiTheme="majorHAnsi" w:cstheme="majorBidi"/>
      <w:b/>
      <w:bCs/>
      <w:color w:val="4F81BD" w:themeColor="accent1"/>
      <w:sz w:val="26"/>
      <w:szCs w:val="26"/>
      <w:lang w:val="en-US" w:eastAsia="en-US"/>
    </w:rPr>
  </w:style>
  <w:style w:type="paragraph" w:customStyle="1" w:styleId="rteindent2">
    <w:name w:val="rteindent2"/>
    <w:basedOn w:val="Normal"/>
    <w:rsid w:val="008044E1"/>
    <w:pPr>
      <w:spacing w:before="100" w:beforeAutospacing="1" w:after="100" w:afterAutospacing="1" w:line="315" w:lineRule="atLeast"/>
      <w:ind w:left="1200"/>
    </w:pPr>
    <w:rPr>
      <w:rFonts w:ascii="Arial" w:eastAsia="Times New Roman" w:hAnsi="Arial" w:cs="Arial"/>
      <w:sz w:val="23"/>
      <w:szCs w:val="23"/>
    </w:rPr>
  </w:style>
  <w:style w:type="table" w:styleId="MediumShading1-Accent5">
    <w:name w:val="Medium Shading 1 Accent 5"/>
    <w:basedOn w:val="TableNormal"/>
    <w:uiPriority w:val="63"/>
    <w:rsid w:val="00EF4DC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ListParagraphChar">
    <w:name w:val="List Paragraph Char"/>
    <w:link w:val="ListParagraph"/>
    <w:uiPriority w:val="34"/>
    <w:rsid w:val="00297138"/>
    <w:rPr>
      <w:sz w:val="22"/>
      <w:szCs w:val="22"/>
      <w:lang w:val="en-US" w:eastAsia="en-US"/>
    </w:rPr>
  </w:style>
  <w:style w:type="paragraph" w:customStyle="1" w:styleId="important">
    <w:name w:val="important"/>
    <w:basedOn w:val="Normal"/>
    <w:rsid w:val="00F32AAB"/>
    <w:pPr>
      <w:spacing w:after="150" w:line="315" w:lineRule="atLeast"/>
    </w:pPr>
    <w:rPr>
      <w:rFonts w:ascii="Open Sans" w:eastAsia="Times New Roman" w:hAnsi="Open San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10978670">
      <w:bodyDiv w:val="1"/>
      <w:marLeft w:val="0"/>
      <w:marRight w:val="0"/>
      <w:marTop w:val="0"/>
      <w:marBottom w:val="0"/>
      <w:divBdr>
        <w:top w:val="none" w:sz="0" w:space="0" w:color="auto"/>
        <w:left w:val="none" w:sz="0" w:space="0" w:color="auto"/>
        <w:bottom w:val="none" w:sz="0" w:space="0" w:color="auto"/>
        <w:right w:val="none" w:sz="0" w:space="0" w:color="auto"/>
      </w:divBdr>
      <w:divsChild>
        <w:div w:id="1377197540">
          <w:marLeft w:val="1080"/>
          <w:marRight w:val="0"/>
          <w:marTop w:val="100"/>
          <w:marBottom w:val="360"/>
          <w:divBdr>
            <w:top w:val="none" w:sz="0" w:space="0" w:color="auto"/>
            <w:left w:val="none" w:sz="0" w:space="0" w:color="auto"/>
            <w:bottom w:val="none" w:sz="0" w:space="0" w:color="auto"/>
            <w:right w:val="none" w:sz="0" w:space="0" w:color="auto"/>
          </w:divBdr>
        </w:div>
      </w:divsChild>
    </w:div>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276564902">
      <w:bodyDiv w:val="1"/>
      <w:marLeft w:val="0"/>
      <w:marRight w:val="0"/>
      <w:marTop w:val="0"/>
      <w:marBottom w:val="0"/>
      <w:divBdr>
        <w:top w:val="none" w:sz="0" w:space="0" w:color="auto"/>
        <w:left w:val="none" w:sz="0" w:space="0" w:color="auto"/>
        <w:bottom w:val="none" w:sz="0" w:space="0" w:color="auto"/>
        <w:right w:val="none" w:sz="0" w:space="0" w:color="auto"/>
      </w:divBdr>
      <w:divsChild>
        <w:div w:id="829563315">
          <w:marLeft w:val="1166"/>
          <w:marRight w:val="0"/>
          <w:marTop w:val="115"/>
          <w:marBottom w:val="0"/>
          <w:divBdr>
            <w:top w:val="none" w:sz="0" w:space="0" w:color="auto"/>
            <w:left w:val="none" w:sz="0" w:space="0" w:color="auto"/>
            <w:bottom w:val="none" w:sz="0" w:space="0" w:color="auto"/>
            <w:right w:val="none" w:sz="0" w:space="0" w:color="auto"/>
          </w:divBdr>
        </w:div>
        <w:div w:id="1558853238">
          <w:marLeft w:val="1166"/>
          <w:marRight w:val="0"/>
          <w:marTop w:val="115"/>
          <w:marBottom w:val="0"/>
          <w:divBdr>
            <w:top w:val="none" w:sz="0" w:space="0" w:color="auto"/>
            <w:left w:val="none" w:sz="0" w:space="0" w:color="auto"/>
            <w:bottom w:val="none" w:sz="0" w:space="0" w:color="auto"/>
            <w:right w:val="none" w:sz="0" w:space="0" w:color="auto"/>
          </w:divBdr>
        </w:div>
        <w:div w:id="1552961093">
          <w:marLeft w:val="1166"/>
          <w:marRight w:val="0"/>
          <w:marTop w:val="115"/>
          <w:marBottom w:val="0"/>
          <w:divBdr>
            <w:top w:val="none" w:sz="0" w:space="0" w:color="auto"/>
            <w:left w:val="none" w:sz="0" w:space="0" w:color="auto"/>
            <w:bottom w:val="none" w:sz="0" w:space="0" w:color="auto"/>
            <w:right w:val="none" w:sz="0" w:space="0" w:color="auto"/>
          </w:divBdr>
        </w:div>
        <w:div w:id="1558005562">
          <w:marLeft w:val="1166"/>
          <w:marRight w:val="0"/>
          <w:marTop w:val="115"/>
          <w:marBottom w:val="0"/>
          <w:divBdr>
            <w:top w:val="none" w:sz="0" w:space="0" w:color="auto"/>
            <w:left w:val="none" w:sz="0" w:space="0" w:color="auto"/>
            <w:bottom w:val="none" w:sz="0" w:space="0" w:color="auto"/>
            <w:right w:val="none" w:sz="0" w:space="0" w:color="auto"/>
          </w:divBdr>
        </w:div>
      </w:divsChild>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05105">
      <w:bodyDiv w:val="1"/>
      <w:marLeft w:val="0"/>
      <w:marRight w:val="0"/>
      <w:marTop w:val="0"/>
      <w:marBottom w:val="0"/>
      <w:divBdr>
        <w:top w:val="none" w:sz="0" w:space="0" w:color="auto"/>
        <w:left w:val="none" w:sz="0" w:space="0" w:color="auto"/>
        <w:bottom w:val="none" w:sz="0" w:space="0" w:color="auto"/>
        <w:right w:val="none" w:sz="0" w:space="0" w:color="auto"/>
      </w:divBdr>
      <w:divsChild>
        <w:div w:id="1742169131">
          <w:marLeft w:val="547"/>
          <w:marRight w:val="0"/>
          <w:marTop w:val="115"/>
          <w:marBottom w:val="0"/>
          <w:divBdr>
            <w:top w:val="none" w:sz="0" w:space="0" w:color="auto"/>
            <w:left w:val="none" w:sz="0" w:space="0" w:color="auto"/>
            <w:bottom w:val="none" w:sz="0" w:space="0" w:color="auto"/>
            <w:right w:val="none" w:sz="0" w:space="0" w:color="auto"/>
          </w:divBdr>
        </w:div>
        <w:div w:id="1573157679">
          <w:marLeft w:val="1166"/>
          <w:marRight w:val="0"/>
          <w:marTop w:val="115"/>
          <w:marBottom w:val="0"/>
          <w:divBdr>
            <w:top w:val="none" w:sz="0" w:space="0" w:color="auto"/>
            <w:left w:val="none" w:sz="0" w:space="0" w:color="auto"/>
            <w:bottom w:val="none" w:sz="0" w:space="0" w:color="auto"/>
            <w:right w:val="none" w:sz="0" w:space="0" w:color="auto"/>
          </w:divBdr>
        </w:div>
        <w:div w:id="1902404672">
          <w:marLeft w:val="1800"/>
          <w:marRight w:val="0"/>
          <w:marTop w:val="115"/>
          <w:marBottom w:val="0"/>
          <w:divBdr>
            <w:top w:val="none" w:sz="0" w:space="0" w:color="auto"/>
            <w:left w:val="none" w:sz="0" w:space="0" w:color="auto"/>
            <w:bottom w:val="none" w:sz="0" w:space="0" w:color="auto"/>
            <w:right w:val="none" w:sz="0" w:space="0" w:color="auto"/>
          </w:divBdr>
        </w:div>
      </w:divsChild>
    </w:div>
    <w:div w:id="814223487">
      <w:bodyDiv w:val="1"/>
      <w:marLeft w:val="0"/>
      <w:marRight w:val="0"/>
      <w:marTop w:val="0"/>
      <w:marBottom w:val="0"/>
      <w:divBdr>
        <w:top w:val="none" w:sz="0" w:space="0" w:color="auto"/>
        <w:left w:val="none" w:sz="0" w:space="0" w:color="auto"/>
        <w:bottom w:val="none" w:sz="0" w:space="0" w:color="auto"/>
        <w:right w:val="none" w:sz="0" w:space="0" w:color="auto"/>
      </w:divBdr>
      <w:divsChild>
        <w:div w:id="943803232">
          <w:marLeft w:val="0"/>
          <w:marRight w:val="0"/>
          <w:marTop w:val="0"/>
          <w:marBottom w:val="0"/>
          <w:divBdr>
            <w:top w:val="none" w:sz="0" w:space="0" w:color="auto"/>
            <w:left w:val="none" w:sz="0" w:space="0" w:color="auto"/>
            <w:bottom w:val="none" w:sz="0" w:space="0" w:color="auto"/>
            <w:right w:val="none" w:sz="0" w:space="0" w:color="auto"/>
          </w:divBdr>
          <w:divsChild>
            <w:div w:id="49964090">
              <w:marLeft w:val="0"/>
              <w:marRight w:val="0"/>
              <w:marTop w:val="0"/>
              <w:marBottom w:val="0"/>
              <w:divBdr>
                <w:top w:val="none" w:sz="0" w:space="0" w:color="auto"/>
                <w:left w:val="none" w:sz="0" w:space="0" w:color="auto"/>
                <w:bottom w:val="none" w:sz="0" w:space="0" w:color="auto"/>
                <w:right w:val="none" w:sz="0" w:space="0" w:color="auto"/>
              </w:divBdr>
              <w:divsChild>
                <w:div w:id="1207061493">
                  <w:marLeft w:val="0"/>
                  <w:marRight w:val="0"/>
                  <w:marTop w:val="0"/>
                  <w:marBottom w:val="0"/>
                  <w:divBdr>
                    <w:top w:val="none" w:sz="0" w:space="0" w:color="auto"/>
                    <w:left w:val="none" w:sz="0" w:space="0" w:color="auto"/>
                    <w:bottom w:val="none" w:sz="0" w:space="0" w:color="auto"/>
                    <w:right w:val="none" w:sz="0" w:space="0" w:color="auto"/>
                  </w:divBdr>
                  <w:divsChild>
                    <w:div w:id="476721748">
                      <w:marLeft w:val="0"/>
                      <w:marRight w:val="0"/>
                      <w:marTop w:val="0"/>
                      <w:marBottom w:val="0"/>
                      <w:divBdr>
                        <w:top w:val="none" w:sz="0" w:space="0" w:color="auto"/>
                        <w:left w:val="none" w:sz="0" w:space="0" w:color="auto"/>
                        <w:bottom w:val="none" w:sz="0" w:space="0" w:color="auto"/>
                        <w:right w:val="none" w:sz="0" w:space="0" w:color="auto"/>
                      </w:divBdr>
                      <w:divsChild>
                        <w:div w:id="803155235">
                          <w:marLeft w:val="0"/>
                          <w:marRight w:val="0"/>
                          <w:marTop w:val="0"/>
                          <w:marBottom w:val="0"/>
                          <w:divBdr>
                            <w:top w:val="none" w:sz="0" w:space="0" w:color="auto"/>
                            <w:left w:val="none" w:sz="0" w:space="0" w:color="auto"/>
                            <w:bottom w:val="none" w:sz="0" w:space="0" w:color="auto"/>
                            <w:right w:val="none" w:sz="0" w:space="0" w:color="auto"/>
                          </w:divBdr>
                          <w:divsChild>
                            <w:div w:id="1185752388">
                              <w:marLeft w:val="0"/>
                              <w:marRight w:val="0"/>
                              <w:marTop w:val="0"/>
                              <w:marBottom w:val="0"/>
                              <w:divBdr>
                                <w:top w:val="none" w:sz="0" w:space="0" w:color="auto"/>
                                <w:left w:val="none" w:sz="0" w:space="0" w:color="auto"/>
                                <w:bottom w:val="none" w:sz="0" w:space="0" w:color="auto"/>
                                <w:right w:val="none" w:sz="0" w:space="0" w:color="auto"/>
                              </w:divBdr>
                              <w:divsChild>
                                <w:div w:id="1235237770">
                                  <w:marLeft w:val="0"/>
                                  <w:marRight w:val="0"/>
                                  <w:marTop w:val="0"/>
                                  <w:marBottom w:val="0"/>
                                  <w:divBdr>
                                    <w:top w:val="none" w:sz="0" w:space="0" w:color="auto"/>
                                    <w:left w:val="none" w:sz="0" w:space="0" w:color="auto"/>
                                    <w:bottom w:val="none" w:sz="0" w:space="0" w:color="auto"/>
                                    <w:right w:val="none" w:sz="0" w:space="0" w:color="auto"/>
                                  </w:divBdr>
                                  <w:divsChild>
                                    <w:div w:id="14503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190348">
      <w:bodyDiv w:val="1"/>
      <w:marLeft w:val="0"/>
      <w:marRight w:val="0"/>
      <w:marTop w:val="0"/>
      <w:marBottom w:val="0"/>
      <w:divBdr>
        <w:top w:val="none" w:sz="0" w:space="0" w:color="auto"/>
        <w:left w:val="none" w:sz="0" w:space="0" w:color="auto"/>
        <w:bottom w:val="none" w:sz="0" w:space="0" w:color="auto"/>
        <w:right w:val="none" w:sz="0" w:space="0" w:color="auto"/>
      </w:divBdr>
      <w:divsChild>
        <w:div w:id="30303574">
          <w:marLeft w:val="1080"/>
          <w:marRight w:val="0"/>
          <w:marTop w:val="100"/>
          <w:marBottom w:val="240"/>
          <w:divBdr>
            <w:top w:val="none" w:sz="0" w:space="0" w:color="auto"/>
            <w:left w:val="none" w:sz="0" w:space="0" w:color="auto"/>
            <w:bottom w:val="none" w:sz="0" w:space="0" w:color="auto"/>
            <w:right w:val="none" w:sz="0" w:space="0" w:color="auto"/>
          </w:divBdr>
        </w:div>
      </w:divsChild>
    </w:div>
    <w:div w:id="912086082">
      <w:bodyDiv w:val="1"/>
      <w:marLeft w:val="0"/>
      <w:marRight w:val="0"/>
      <w:marTop w:val="0"/>
      <w:marBottom w:val="0"/>
      <w:divBdr>
        <w:top w:val="none" w:sz="0" w:space="0" w:color="auto"/>
        <w:left w:val="none" w:sz="0" w:space="0" w:color="auto"/>
        <w:bottom w:val="none" w:sz="0" w:space="0" w:color="auto"/>
        <w:right w:val="none" w:sz="0" w:space="0" w:color="auto"/>
      </w:divBdr>
      <w:divsChild>
        <w:div w:id="400643780">
          <w:marLeft w:val="0"/>
          <w:marRight w:val="0"/>
          <w:marTop w:val="0"/>
          <w:marBottom w:val="0"/>
          <w:divBdr>
            <w:top w:val="none" w:sz="0" w:space="0" w:color="auto"/>
            <w:left w:val="none" w:sz="0" w:space="0" w:color="auto"/>
            <w:bottom w:val="none" w:sz="0" w:space="0" w:color="auto"/>
            <w:right w:val="none" w:sz="0" w:space="0" w:color="auto"/>
          </w:divBdr>
          <w:divsChild>
            <w:div w:id="2076394972">
              <w:marLeft w:val="0"/>
              <w:marRight w:val="0"/>
              <w:marTop w:val="0"/>
              <w:marBottom w:val="0"/>
              <w:divBdr>
                <w:top w:val="none" w:sz="0" w:space="0" w:color="auto"/>
                <w:left w:val="none" w:sz="0" w:space="0" w:color="auto"/>
                <w:bottom w:val="none" w:sz="0" w:space="0" w:color="auto"/>
                <w:right w:val="none" w:sz="0" w:space="0" w:color="auto"/>
              </w:divBdr>
              <w:divsChild>
                <w:div w:id="793206861">
                  <w:marLeft w:val="0"/>
                  <w:marRight w:val="0"/>
                  <w:marTop w:val="0"/>
                  <w:marBottom w:val="0"/>
                  <w:divBdr>
                    <w:top w:val="none" w:sz="0" w:space="0" w:color="auto"/>
                    <w:left w:val="none" w:sz="0" w:space="0" w:color="auto"/>
                    <w:bottom w:val="none" w:sz="0" w:space="0" w:color="auto"/>
                    <w:right w:val="none" w:sz="0" w:space="0" w:color="auto"/>
                  </w:divBdr>
                  <w:divsChild>
                    <w:div w:id="1451974300">
                      <w:marLeft w:val="0"/>
                      <w:marRight w:val="0"/>
                      <w:marTop w:val="0"/>
                      <w:marBottom w:val="0"/>
                      <w:divBdr>
                        <w:top w:val="none" w:sz="0" w:space="0" w:color="auto"/>
                        <w:left w:val="none" w:sz="0" w:space="0" w:color="auto"/>
                        <w:bottom w:val="none" w:sz="0" w:space="0" w:color="auto"/>
                        <w:right w:val="none" w:sz="0" w:space="0" w:color="auto"/>
                      </w:divBdr>
                      <w:divsChild>
                        <w:div w:id="573053816">
                          <w:marLeft w:val="0"/>
                          <w:marRight w:val="0"/>
                          <w:marTop w:val="0"/>
                          <w:marBottom w:val="0"/>
                          <w:divBdr>
                            <w:top w:val="none" w:sz="0" w:space="0" w:color="auto"/>
                            <w:left w:val="none" w:sz="0" w:space="0" w:color="auto"/>
                            <w:bottom w:val="none" w:sz="0" w:space="0" w:color="auto"/>
                            <w:right w:val="none" w:sz="0" w:space="0" w:color="auto"/>
                          </w:divBdr>
                          <w:divsChild>
                            <w:div w:id="1069228969">
                              <w:marLeft w:val="0"/>
                              <w:marRight w:val="0"/>
                              <w:marTop w:val="0"/>
                              <w:marBottom w:val="0"/>
                              <w:divBdr>
                                <w:top w:val="none" w:sz="0" w:space="0" w:color="auto"/>
                                <w:left w:val="none" w:sz="0" w:space="0" w:color="auto"/>
                                <w:bottom w:val="none" w:sz="0" w:space="0" w:color="auto"/>
                                <w:right w:val="none" w:sz="0" w:space="0" w:color="auto"/>
                              </w:divBdr>
                              <w:divsChild>
                                <w:div w:id="1235356434">
                                  <w:marLeft w:val="0"/>
                                  <w:marRight w:val="0"/>
                                  <w:marTop w:val="0"/>
                                  <w:marBottom w:val="0"/>
                                  <w:divBdr>
                                    <w:top w:val="none" w:sz="0" w:space="0" w:color="auto"/>
                                    <w:left w:val="none" w:sz="0" w:space="0" w:color="auto"/>
                                    <w:bottom w:val="none" w:sz="0" w:space="0" w:color="auto"/>
                                    <w:right w:val="none" w:sz="0" w:space="0" w:color="auto"/>
                                  </w:divBdr>
                                  <w:divsChild>
                                    <w:div w:id="1851404186">
                                      <w:marLeft w:val="0"/>
                                      <w:marRight w:val="0"/>
                                      <w:marTop w:val="0"/>
                                      <w:marBottom w:val="0"/>
                                      <w:divBdr>
                                        <w:top w:val="none" w:sz="0" w:space="0" w:color="auto"/>
                                        <w:left w:val="none" w:sz="0" w:space="0" w:color="auto"/>
                                        <w:bottom w:val="none" w:sz="0" w:space="0" w:color="auto"/>
                                        <w:right w:val="none" w:sz="0" w:space="0" w:color="auto"/>
                                      </w:divBdr>
                                      <w:divsChild>
                                        <w:div w:id="1900092439">
                                          <w:marLeft w:val="0"/>
                                          <w:marRight w:val="0"/>
                                          <w:marTop w:val="0"/>
                                          <w:marBottom w:val="0"/>
                                          <w:divBdr>
                                            <w:top w:val="none" w:sz="0" w:space="0" w:color="auto"/>
                                            <w:left w:val="none" w:sz="0" w:space="0" w:color="auto"/>
                                            <w:bottom w:val="none" w:sz="0" w:space="0" w:color="auto"/>
                                            <w:right w:val="none" w:sz="0" w:space="0" w:color="auto"/>
                                          </w:divBdr>
                                        </w:div>
                                        <w:div w:id="89351281">
                                          <w:marLeft w:val="0"/>
                                          <w:marRight w:val="0"/>
                                          <w:marTop w:val="0"/>
                                          <w:marBottom w:val="0"/>
                                          <w:divBdr>
                                            <w:top w:val="none" w:sz="0" w:space="0" w:color="auto"/>
                                            <w:left w:val="none" w:sz="0" w:space="0" w:color="auto"/>
                                            <w:bottom w:val="none" w:sz="0" w:space="0" w:color="auto"/>
                                            <w:right w:val="none" w:sz="0" w:space="0" w:color="auto"/>
                                          </w:divBdr>
                                          <w:divsChild>
                                            <w:div w:id="18373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8557590">
      <w:bodyDiv w:val="1"/>
      <w:marLeft w:val="0"/>
      <w:marRight w:val="0"/>
      <w:marTop w:val="0"/>
      <w:marBottom w:val="0"/>
      <w:divBdr>
        <w:top w:val="none" w:sz="0" w:space="0" w:color="auto"/>
        <w:left w:val="none" w:sz="0" w:space="0" w:color="auto"/>
        <w:bottom w:val="none" w:sz="0" w:space="0" w:color="auto"/>
        <w:right w:val="none" w:sz="0" w:space="0" w:color="auto"/>
      </w:divBdr>
      <w:divsChild>
        <w:div w:id="59715362">
          <w:marLeft w:val="0"/>
          <w:marRight w:val="0"/>
          <w:marTop w:val="0"/>
          <w:marBottom w:val="0"/>
          <w:divBdr>
            <w:top w:val="none" w:sz="0" w:space="0" w:color="auto"/>
            <w:left w:val="none" w:sz="0" w:space="0" w:color="auto"/>
            <w:bottom w:val="none" w:sz="0" w:space="0" w:color="auto"/>
            <w:right w:val="none" w:sz="0" w:space="0" w:color="auto"/>
          </w:divBdr>
          <w:divsChild>
            <w:div w:id="1793286641">
              <w:marLeft w:val="0"/>
              <w:marRight w:val="0"/>
              <w:marTop w:val="0"/>
              <w:marBottom w:val="0"/>
              <w:divBdr>
                <w:top w:val="none" w:sz="0" w:space="0" w:color="auto"/>
                <w:left w:val="none" w:sz="0" w:space="0" w:color="auto"/>
                <w:bottom w:val="none" w:sz="0" w:space="0" w:color="auto"/>
                <w:right w:val="none" w:sz="0" w:space="0" w:color="auto"/>
              </w:divBdr>
              <w:divsChild>
                <w:div w:id="604195684">
                  <w:marLeft w:val="0"/>
                  <w:marRight w:val="0"/>
                  <w:marTop w:val="0"/>
                  <w:marBottom w:val="0"/>
                  <w:divBdr>
                    <w:top w:val="none" w:sz="0" w:space="0" w:color="auto"/>
                    <w:left w:val="none" w:sz="0" w:space="0" w:color="auto"/>
                    <w:bottom w:val="none" w:sz="0" w:space="0" w:color="auto"/>
                    <w:right w:val="none" w:sz="0" w:space="0" w:color="auto"/>
                  </w:divBdr>
                  <w:divsChild>
                    <w:div w:id="1548763335">
                      <w:marLeft w:val="0"/>
                      <w:marRight w:val="0"/>
                      <w:marTop w:val="0"/>
                      <w:marBottom w:val="0"/>
                      <w:divBdr>
                        <w:top w:val="none" w:sz="0" w:space="0" w:color="auto"/>
                        <w:left w:val="none" w:sz="0" w:space="0" w:color="auto"/>
                        <w:bottom w:val="none" w:sz="0" w:space="0" w:color="auto"/>
                        <w:right w:val="none" w:sz="0" w:space="0" w:color="auto"/>
                      </w:divBdr>
                      <w:divsChild>
                        <w:div w:id="1063604782">
                          <w:marLeft w:val="0"/>
                          <w:marRight w:val="0"/>
                          <w:marTop w:val="0"/>
                          <w:marBottom w:val="0"/>
                          <w:divBdr>
                            <w:top w:val="none" w:sz="0" w:space="0" w:color="auto"/>
                            <w:left w:val="none" w:sz="0" w:space="0" w:color="auto"/>
                            <w:bottom w:val="none" w:sz="0" w:space="0" w:color="auto"/>
                            <w:right w:val="none" w:sz="0" w:space="0" w:color="auto"/>
                          </w:divBdr>
                          <w:divsChild>
                            <w:div w:id="591821043">
                              <w:marLeft w:val="0"/>
                              <w:marRight w:val="0"/>
                              <w:marTop w:val="0"/>
                              <w:marBottom w:val="0"/>
                              <w:divBdr>
                                <w:top w:val="none" w:sz="0" w:space="0" w:color="auto"/>
                                <w:left w:val="none" w:sz="0" w:space="0" w:color="auto"/>
                                <w:bottom w:val="none" w:sz="0" w:space="0" w:color="auto"/>
                                <w:right w:val="none" w:sz="0" w:space="0" w:color="auto"/>
                              </w:divBdr>
                              <w:divsChild>
                                <w:div w:id="406848957">
                                  <w:marLeft w:val="0"/>
                                  <w:marRight w:val="0"/>
                                  <w:marTop w:val="0"/>
                                  <w:marBottom w:val="0"/>
                                  <w:divBdr>
                                    <w:top w:val="none" w:sz="0" w:space="0" w:color="auto"/>
                                    <w:left w:val="none" w:sz="0" w:space="0" w:color="auto"/>
                                    <w:bottom w:val="none" w:sz="0" w:space="0" w:color="auto"/>
                                    <w:right w:val="none" w:sz="0" w:space="0" w:color="auto"/>
                                  </w:divBdr>
                                  <w:divsChild>
                                    <w:div w:id="1671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889292">
      <w:bodyDiv w:val="1"/>
      <w:marLeft w:val="0"/>
      <w:marRight w:val="0"/>
      <w:marTop w:val="0"/>
      <w:marBottom w:val="0"/>
      <w:divBdr>
        <w:top w:val="none" w:sz="0" w:space="0" w:color="auto"/>
        <w:left w:val="none" w:sz="0" w:space="0" w:color="auto"/>
        <w:bottom w:val="none" w:sz="0" w:space="0" w:color="auto"/>
        <w:right w:val="none" w:sz="0" w:space="0" w:color="auto"/>
      </w:divBdr>
    </w:div>
    <w:div w:id="1293633907">
      <w:bodyDiv w:val="1"/>
      <w:marLeft w:val="0"/>
      <w:marRight w:val="0"/>
      <w:marTop w:val="0"/>
      <w:marBottom w:val="0"/>
      <w:divBdr>
        <w:top w:val="none" w:sz="0" w:space="0" w:color="auto"/>
        <w:left w:val="none" w:sz="0" w:space="0" w:color="auto"/>
        <w:bottom w:val="none" w:sz="0" w:space="0" w:color="auto"/>
        <w:right w:val="none" w:sz="0" w:space="0" w:color="auto"/>
      </w:divBdr>
      <w:divsChild>
        <w:div w:id="1482388660">
          <w:marLeft w:val="1080"/>
          <w:marRight w:val="0"/>
          <w:marTop w:val="100"/>
          <w:marBottom w:val="360"/>
          <w:divBdr>
            <w:top w:val="none" w:sz="0" w:space="0" w:color="auto"/>
            <w:left w:val="none" w:sz="0" w:space="0" w:color="auto"/>
            <w:bottom w:val="none" w:sz="0" w:space="0" w:color="auto"/>
            <w:right w:val="none" w:sz="0" w:space="0" w:color="auto"/>
          </w:divBdr>
        </w:div>
      </w:divsChild>
    </w:div>
    <w:div w:id="1320303519">
      <w:bodyDiv w:val="1"/>
      <w:marLeft w:val="0"/>
      <w:marRight w:val="0"/>
      <w:marTop w:val="0"/>
      <w:marBottom w:val="0"/>
      <w:divBdr>
        <w:top w:val="none" w:sz="0" w:space="0" w:color="auto"/>
        <w:left w:val="none" w:sz="0" w:space="0" w:color="auto"/>
        <w:bottom w:val="none" w:sz="0" w:space="0" w:color="auto"/>
        <w:right w:val="none" w:sz="0" w:space="0" w:color="auto"/>
      </w:divBdr>
    </w:div>
    <w:div w:id="1588419011">
      <w:bodyDiv w:val="1"/>
      <w:marLeft w:val="0"/>
      <w:marRight w:val="0"/>
      <w:marTop w:val="0"/>
      <w:marBottom w:val="0"/>
      <w:divBdr>
        <w:top w:val="none" w:sz="0" w:space="0" w:color="auto"/>
        <w:left w:val="none" w:sz="0" w:space="0" w:color="auto"/>
        <w:bottom w:val="none" w:sz="0" w:space="0" w:color="auto"/>
        <w:right w:val="none" w:sz="0" w:space="0" w:color="auto"/>
      </w:divBdr>
      <w:divsChild>
        <w:div w:id="1329212101">
          <w:marLeft w:val="0"/>
          <w:marRight w:val="0"/>
          <w:marTop w:val="0"/>
          <w:marBottom w:val="0"/>
          <w:divBdr>
            <w:top w:val="none" w:sz="0" w:space="0" w:color="auto"/>
            <w:left w:val="none" w:sz="0" w:space="0" w:color="auto"/>
            <w:bottom w:val="none" w:sz="0" w:space="0" w:color="auto"/>
            <w:right w:val="none" w:sz="0" w:space="0" w:color="auto"/>
          </w:divBdr>
          <w:divsChild>
            <w:div w:id="2014189178">
              <w:marLeft w:val="0"/>
              <w:marRight w:val="0"/>
              <w:marTop w:val="0"/>
              <w:marBottom w:val="0"/>
              <w:divBdr>
                <w:top w:val="none" w:sz="0" w:space="0" w:color="auto"/>
                <w:left w:val="none" w:sz="0" w:space="0" w:color="auto"/>
                <w:bottom w:val="none" w:sz="0" w:space="0" w:color="auto"/>
                <w:right w:val="none" w:sz="0" w:space="0" w:color="auto"/>
              </w:divBdr>
              <w:divsChild>
                <w:div w:id="899244555">
                  <w:marLeft w:val="0"/>
                  <w:marRight w:val="0"/>
                  <w:marTop w:val="0"/>
                  <w:marBottom w:val="0"/>
                  <w:divBdr>
                    <w:top w:val="none" w:sz="0" w:space="0" w:color="auto"/>
                    <w:left w:val="none" w:sz="0" w:space="0" w:color="auto"/>
                    <w:bottom w:val="none" w:sz="0" w:space="0" w:color="auto"/>
                    <w:right w:val="none" w:sz="0" w:space="0" w:color="auto"/>
                  </w:divBdr>
                  <w:divsChild>
                    <w:div w:id="587883989">
                      <w:marLeft w:val="0"/>
                      <w:marRight w:val="0"/>
                      <w:marTop w:val="0"/>
                      <w:marBottom w:val="0"/>
                      <w:divBdr>
                        <w:top w:val="none" w:sz="0" w:space="0" w:color="auto"/>
                        <w:left w:val="none" w:sz="0" w:space="0" w:color="auto"/>
                        <w:bottom w:val="none" w:sz="0" w:space="0" w:color="auto"/>
                        <w:right w:val="none" w:sz="0" w:space="0" w:color="auto"/>
                      </w:divBdr>
                      <w:divsChild>
                        <w:div w:id="1691760665">
                          <w:marLeft w:val="0"/>
                          <w:marRight w:val="0"/>
                          <w:marTop w:val="0"/>
                          <w:marBottom w:val="0"/>
                          <w:divBdr>
                            <w:top w:val="none" w:sz="0" w:space="0" w:color="auto"/>
                            <w:left w:val="none" w:sz="0" w:space="0" w:color="auto"/>
                            <w:bottom w:val="none" w:sz="0" w:space="0" w:color="auto"/>
                            <w:right w:val="none" w:sz="0" w:space="0" w:color="auto"/>
                          </w:divBdr>
                          <w:divsChild>
                            <w:div w:id="57098137">
                              <w:marLeft w:val="0"/>
                              <w:marRight w:val="0"/>
                              <w:marTop w:val="0"/>
                              <w:marBottom w:val="0"/>
                              <w:divBdr>
                                <w:top w:val="none" w:sz="0" w:space="0" w:color="auto"/>
                                <w:left w:val="none" w:sz="0" w:space="0" w:color="auto"/>
                                <w:bottom w:val="none" w:sz="0" w:space="0" w:color="auto"/>
                                <w:right w:val="none" w:sz="0" w:space="0" w:color="auto"/>
                              </w:divBdr>
                              <w:divsChild>
                                <w:div w:id="1821648975">
                                  <w:marLeft w:val="0"/>
                                  <w:marRight w:val="0"/>
                                  <w:marTop w:val="0"/>
                                  <w:marBottom w:val="0"/>
                                  <w:divBdr>
                                    <w:top w:val="none" w:sz="0" w:space="0" w:color="auto"/>
                                    <w:left w:val="none" w:sz="0" w:space="0" w:color="auto"/>
                                    <w:bottom w:val="none" w:sz="0" w:space="0" w:color="auto"/>
                                    <w:right w:val="none" w:sz="0" w:space="0" w:color="auto"/>
                                  </w:divBdr>
                                  <w:divsChild>
                                    <w:div w:id="8045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496527">
      <w:bodyDiv w:val="1"/>
      <w:marLeft w:val="0"/>
      <w:marRight w:val="0"/>
      <w:marTop w:val="0"/>
      <w:marBottom w:val="0"/>
      <w:divBdr>
        <w:top w:val="none" w:sz="0" w:space="0" w:color="auto"/>
        <w:left w:val="none" w:sz="0" w:space="0" w:color="auto"/>
        <w:bottom w:val="none" w:sz="0" w:space="0" w:color="auto"/>
        <w:right w:val="none" w:sz="0" w:space="0" w:color="auto"/>
      </w:divBdr>
      <w:divsChild>
        <w:div w:id="1927035343">
          <w:marLeft w:val="0"/>
          <w:marRight w:val="0"/>
          <w:marTop w:val="0"/>
          <w:marBottom w:val="0"/>
          <w:divBdr>
            <w:top w:val="none" w:sz="0" w:space="0" w:color="auto"/>
            <w:left w:val="none" w:sz="0" w:space="0" w:color="auto"/>
            <w:bottom w:val="none" w:sz="0" w:space="0" w:color="auto"/>
            <w:right w:val="none" w:sz="0" w:space="0" w:color="auto"/>
          </w:divBdr>
          <w:divsChild>
            <w:div w:id="870066939">
              <w:marLeft w:val="0"/>
              <w:marRight w:val="0"/>
              <w:marTop w:val="0"/>
              <w:marBottom w:val="0"/>
              <w:divBdr>
                <w:top w:val="none" w:sz="0" w:space="0" w:color="auto"/>
                <w:left w:val="none" w:sz="0" w:space="0" w:color="auto"/>
                <w:bottom w:val="none" w:sz="0" w:space="0" w:color="auto"/>
                <w:right w:val="none" w:sz="0" w:space="0" w:color="auto"/>
              </w:divBdr>
              <w:divsChild>
                <w:div w:id="1863664339">
                  <w:marLeft w:val="0"/>
                  <w:marRight w:val="0"/>
                  <w:marTop w:val="0"/>
                  <w:marBottom w:val="0"/>
                  <w:divBdr>
                    <w:top w:val="none" w:sz="0" w:space="0" w:color="auto"/>
                    <w:left w:val="none" w:sz="0" w:space="0" w:color="auto"/>
                    <w:bottom w:val="none" w:sz="0" w:space="0" w:color="auto"/>
                    <w:right w:val="none" w:sz="0" w:space="0" w:color="auto"/>
                  </w:divBdr>
                  <w:divsChild>
                    <w:div w:id="1993218186">
                      <w:marLeft w:val="0"/>
                      <w:marRight w:val="0"/>
                      <w:marTop w:val="0"/>
                      <w:marBottom w:val="0"/>
                      <w:divBdr>
                        <w:top w:val="none" w:sz="0" w:space="0" w:color="auto"/>
                        <w:left w:val="none" w:sz="0" w:space="0" w:color="auto"/>
                        <w:bottom w:val="none" w:sz="0" w:space="0" w:color="auto"/>
                        <w:right w:val="none" w:sz="0" w:space="0" w:color="auto"/>
                      </w:divBdr>
                      <w:divsChild>
                        <w:div w:id="955143197">
                          <w:marLeft w:val="0"/>
                          <w:marRight w:val="0"/>
                          <w:marTop w:val="0"/>
                          <w:marBottom w:val="0"/>
                          <w:divBdr>
                            <w:top w:val="none" w:sz="0" w:space="0" w:color="auto"/>
                            <w:left w:val="none" w:sz="0" w:space="0" w:color="auto"/>
                            <w:bottom w:val="none" w:sz="0" w:space="0" w:color="auto"/>
                            <w:right w:val="none" w:sz="0" w:space="0" w:color="auto"/>
                          </w:divBdr>
                          <w:divsChild>
                            <w:div w:id="129178974">
                              <w:marLeft w:val="0"/>
                              <w:marRight w:val="0"/>
                              <w:marTop w:val="0"/>
                              <w:marBottom w:val="0"/>
                              <w:divBdr>
                                <w:top w:val="none" w:sz="0" w:space="0" w:color="auto"/>
                                <w:left w:val="none" w:sz="0" w:space="0" w:color="auto"/>
                                <w:bottom w:val="none" w:sz="0" w:space="0" w:color="auto"/>
                                <w:right w:val="none" w:sz="0" w:space="0" w:color="auto"/>
                              </w:divBdr>
                              <w:divsChild>
                                <w:div w:id="765812039">
                                  <w:marLeft w:val="0"/>
                                  <w:marRight w:val="0"/>
                                  <w:marTop w:val="0"/>
                                  <w:marBottom w:val="0"/>
                                  <w:divBdr>
                                    <w:top w:val="none" w:sz="0" w:space="0" w:color="auto"/>
                                    <w:left w:val="none" w:sz="0" w:space="0" w:color="auto"/>
                                    <w:bottom w:val="none" w:sz="0" w:space="0" w:color="auto"/>
                                    <w:right w:val="none" w:sz="0" w:space="0" w:color="auto"/>
                                  </w:divBdr>
                                  <w:divsChild>
                                    <w:div w:id="10849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048602">
      <w:bodyDiv w:val="1"/>
      <w:marLeft w:val="0"/>
      <w:marRight w:val="0"/>
      <w:marTop w:val="0"/>
      <w:marBottom w:val="0"/>
      <w:divBdr>
        <w:top w:val="none" w:sz="0" w:space="0" w:color="auto"/>
        <w:left w:val="none" w:sz="0" w:space="0" w:color="auto"/>
        <w:bottom w:val="none" w:sz="0" w:space="0" w:color="auto"/>
        <w:right w:val="none" w:sz="0" w:space="0" w:color="auto"/>
      </w:divBdr>
      <w:divsChild>
        <w:div w:id="1062406487">
          <w:marLeft w:val="0"/>
          <w:marRight w:val="0"/>
          <w:marTop w:val="0"/>
          <w:marBottom w:val="0"/>
          <w:divBdr>
            <w:top w:val="none" w:sz="0" w:space="0" w:color="auto"/>
            <w:left w:val="none" w:sz="0" w:space="0" w:color="auto"/>
            <w:bottom w:val="none" w:sz="0" w:space="0" w:color="auto"/>
            <w:right w:val="none" w:sz="0" w:space="0" w:color="auto"/>
          </w:divBdr>
          <w:divsChild>
            <w:div w:id="1515341747">
              <w:marLeft w:val="0"/>
              <w:marRight w:val="0"/>
              <w:marTop w:val="0"/>
              <w:marBottom w:val="0"/>
              <w:divBdr>
                <w:top w:val="none" w:sz="0" w:space="0" w:color="auto"/>
                <w:left w:val="none" w:sz="0" w:space="0" w:color="auto"/>
                <w:bottom w:val="none" w:sz="0" w:space="0" w:color="auto"/>
                <w:right w:val="none" w:sz="0" w:space="0" w:color="auto"/>
              </w:divBdr>
              <w:divsChild>
                <w:div w:id="1841891397">
                  <w:marLeft w:val="0"/>
                  <w:marRight w:val="0"/>
                  <w:marTop w:val="0"/>
                  <w:marBottom w:val="0"/>
                  <w:divBdr>
                    <w:top w:val="none" w:sz="0" w:space="0" w:color="auto"/>
                    <w:left w:val="none" w:sz="0" w:space="0" w:color="auto"/>
                    <w:bottom w:val="none" w:sz="0" w:space="0" w:color="auto"/>
                    <w:right w:val="none" w:sz="0" w:space="0" w:color="auto"/>
                  </w:divBdr>
                  <w:divsChild>
                    <w:div w:id="337387995">
                      <w:marLeft w:val="0"/>
                      <w:marRight w:val="0"/>
                      <w:marTop w:val="0"/>
                      <w:marBottom w:val="0"/>
                      <w:divBdr>
                        <w:top w:val="none" w:sz="0" w:space="0" w:color="auto"/>
                        <w:left w:val="none" w:sz="0" w:space="0" w:color="auto"/>
                        <w:bottom w:val="none" w:sz="0" w:space="0" w:color="auto"/>
                        <w:right w:val="none" w:sz="0" w:space="0" w:color="auto"/>
                      </w:divBdr>
                      <w:divsChild>
                        <w:div w:id="1209147788">
                          <w:marLeft w:val="0"/>
                          <w:marRight w:val="0"/>
                          <w:marTop w:val="0"/>
                          <w:marBottom w:val="0"/>
                          <w:divBdr>
                            <w:top w:val="none" w:sz="0" w:space="0" w:color="auto"/>
                            <w:left w:val="none" w:sz="0" w:space="0" w:color="auto"/>
                            <w:bottom w:val="none" w:sz="0" w:space="0" w:color="auto"/>
                            <w:right w:val="none" w:sz="0" w:space="0" w:color="auto"/>
                          </w:divBdr>
                          <w:divsChild>
                            <w:div w:id="403798303">
                              <w:marLeft w:val="0"/>
                              <w:marRight w:val="0"/>
                              <w:marTop w:val="0"/>
                              <w:marBottom w:val="0"/>
                              <w:divBdr>
                                <w:top w:val="none" w:sz="0" w:space="0" w:color="auto"/>
                                <w:left w:val="none" w:sz="0" w:space="0" w:color="auto"/>
                                <w:bottom w:val="none" w:sz="0" w:space="0" w:color="auto"/>
                                <w:right w:val="none" w:sz="0" w:space="0" w:color="auto"/>
                              </w:divBdr>
                              <w:divsChild>
                                <w:div w:id="1697922887">
                                  <w:marLeft w:val="0"/>
                                  <w:marRight w:val="0"/>
                                  <w:marTop w:val="0"/>
                                  <w:marBottom w:val="0"/>
                                  <w:divBdr>
                                    <w:top w:val="none" w:sz="0" w:space="0" w:color="auto"/>
                                    <w:left w:val="none" w:sz="0" w:space="0" w:color="auto"/>
                                    <w:bottom w:val="none" w:sz="0" w:space="0" w:color="auto"/>
                                    <w:right w:val="none" w:sz="0" w:space="0" w:color="auto"/>
                                  </w:divBdr>
                                  <w:divsChild>
                                    <w:div w:id="9750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867910248">
      <w:bodyDiv w:val="1"/>
      <w:marLeft w:val="0"/>
      <w:marRight w:val="0"/>
      <w:marTop w:val="0"/>
      <w:marBottom w:val="0"/>
      <w:divBdr>
        <w:top w:val="none" w:sz="0" w:space="0" w:color="auto"/>
        <w:left w:val="none" w:sz="0" w:space="0" w:color="auto"/>
        <w:bottom w:val="none" w:sz="0" w:space="0" w:color="auto"/>
        <w:right w:val="none" w:sz="0" w:space="0" w:color="auto"/>
      </w:divBdr>
      <w:divsChild>
        <w:div w:id="2115633402">
          <w:marLeft w:val="0"/>
          <w:marRight w:val="0"/>
          <w:marTop w:val="0"/>
          <w:marBottom w:val="0"/>
          <w:divBdr>
            <w:top w:val="none" w:sz="0" w:space="0" w:color="auto"/>
            <w:left w:val="none" w:sz="0" w:space="0" w:color="auto"/>
            <w:bottom w:val="none" w:sz="0" w:space="0" w:color="auto"/>
            <w:right w:val="none" w:sz="0" w:space="0" w:color="auto"/>
          </w:divBdr>
          <w:divsChild>
            <w:div w:id="843588160">
              <w:marLeft w:val="0"/>
              <w:marRight w:val="0"/>
              <w:marTop w:val="0"/>
              <w:marBottom w:val="0"/>
              <w:divBdr>
                <w:top w:val="none" w:sz="0" w:space="0" w:color="auto"/>
                <w:left w:val="none" w:sz="0" w:space="0" w:color="auto"/>
                <w:bottom w:val="none" w:sz="0" w:space="0" w:color="auto"/>
                <w:right w:val="none" w:sz="0" w:space="0" w:color="auto"/>
              </w:divBdr>
              <w:divsChild>
                <w:div w:id="1750153635">
                  <w:marLeft w:val="0"/>
                  <w:marRight w:val="0"/>
                  <w:marTop w:val="0"/>
                  <w:marBottom w:val="0"/>
                  <w:divBdr>
                    <w:top w:val="none" w:sz="0" w:space="0" w:color="auto"/>
                    <w:left w:val="none" w:sz="0" w:space="0" w:color="auto"/>
                    <w:bottom w:val="none" w:sz="0" w:space="0" w:color="auto"/>
                    <w:right w:val="none" w:sz="0" w:space="0" w:color="auto"/>
                  </w:divBdr>
                  <w:divsChild>
                    <w:div w:id="1571185397">
                      <w:marLeft w:val="0"/>
                      <w:marRight w:val="0"/>
                      <w:marTop w:val="0"/>
                      <w:marBottom w:val="0"/>
                      <w:divBdr>
                        <w:top w:val="none" w:sz="0" w:space="0" w:color="auto"/>
                        <w:left w:val="none" w:sz="0" w:space="0" w:color="auto"/>
                        <w:bottom w:val="none" w:sz="0" w:space="0" w:color="auto"/>
                        <w:right w:val="none" w:sz="0" w:space="0" w:color="auto"/>
                      </w:divBdr>
                      <w:divsChild>
                        <w:div w:id="1811052511">
                          <w:marLeft w:val="0"/>
                          <w:marRight w:val="0"/>
                          <w:marTop w:val="0"/>
                          <w:marBottom w:val="0"/>
                          <w:divBdr>
                            <w:top w:val="none" w:sz="0" w:space="0" w:color="auto"/>
                            <w:left w:val="none" w:sz="0" w:space="0" w:color="auto"/>
                            <w:bottom w:val="none" w:sz="0" w:space="0" w:color="auto"/>
                            <w:right w:val="none" w:sz="0" w:space="0" w:color="auto"/>
                          </w:divBdr>
                          <w:divsChild>
                            <w:div w:id="1367754389">
                              <w:marLeft w:val="0"/>
                              <w:marRight w:val="0"/>
                              <w:marTop w:val="0"/>
                              <w:marBottom w:val="0"/>
                              <w:divBdr>
                                <w:top w:val="none" w:sz="0" w:space="0" w:color="auto"/>
                                <w:left w:val="none" w:sz="0" w:space="0" w:color="auto"/>
                                <w:bottom w:val="none" w:sz="0" w:space="0" w:color="auto"/>
                                <w:right w:val="none" w:sz="0" w:space="0" w:color="auto"/>
                              </w:divBdr>
                              <w:divsChild>
                                <w:div w:id="1453478640">
                                  <w:marLeft w:val="0"/>
                                  <w:marRight w:val="0"/>
                                  <w:marTop w:val="0"/>
                                  <w:marBottom w:val="0"/>
                                  <w:divBdr>
                                    <w:top w:val="none" w:sz="0" w:space="0" w:color="auto"/>
                                    <w:left w:val="none" w:sz="0" w:space="0" w:color="auto"/>
                                    <w:bottom w:val="none" w:sz="0" w:space="0" w:color="auto"/>
                                    <w:right w:val="none" w:sz="0" w:space="0" w:color="auto"/>
                                  </w:divBdr>
                                  <w:divsChild>
                                    <w:div w:id="451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012676131">
      <w:bodyDiv w:val="1"/>
      <w:marLeft w:val="0"/>
      <w:marRight w:val="0"/>
      <w:marTop w:val="0"/>
      <w:marBottom w:val="0"/>
      <w:divBdr>
        <w:top w:val="none" w:sz="0" w:space="0" w:color="auto"/>
        <w:left w:val="none" w:sz="0" w:space="0" w:color="auto"/>
        <w:bottom w:val="none" w:sz="0" w:space="0" w:color="auto"/>
        <w:right w:val="none" w:sz="0" w:space="0" w:color="auto"/>
      </w:divBdr>
      <w:divsChild>
        <w:div w:id="193035412">
          <w:marLeft w:val="0"/>
          <w:marRight w:val="0"/>
          <w:marTop w:val="0"/>
          <w:marBottom w:val="0"/>
          <w:divBdr>
            <w:top w:val="none" w:sz="0" w:space="0" w:color="auto"/>
            <w:left w:val="none" w:sz="0" w:space="0" w:color="auto"/>
            <w:bottom w:val="none" w:sz="0" w:space="0" w:color="auto"/>
            <w:right w:val="none" w:sz="0" w:space="0" w:color="auto"/>
          </w:divBdr>
          <w:divsChild>
            <w:div w:id="1442147976">
              <w:marLeft w:val="0"/>
              <w:marRight w:val="0"/>
              <w:marTop w:val="0"/>
              <w:marBottom w:val="0"/>
              <w:divBdr>
                <w:top w:val="none" w:sz="0" w:space="0" w:color="auto"/>
                <w:left w:val="none" w:sz="0" w:space="0" w:color="auto"/>
                <w:bottom w:val="none" w:sz="0" w:space="0" w:color="auto"/>
                <w:right w:val="none" w:sz="0" w:space="0" w:color="auto"/>
              </w:divBdr>
              <w:divsChild>
                <w:div w:id="2073693314">
                  <w:marLeft w:val="0"/>
                  <w:marRight w:val="0"/>
                  <w:marTop w:val="0"/>
                  <w:marBottom w:val="0"/>
                  <w:divBdr>
                    <w:top w:val="none" w:sz="0" w:space="0" w:color="auto"/>
                    <w:left w:val="none" w:sz="0" w:space="0" w:color="auto"/>
                    <w:bottom w:val="none" w:sz="0" w:space="0" w:color="auto"/>
                    <w:right w:val="none" w:sz="0" w:space="0" w:color="auto"/>
                  </w:divBdr>
                  <w:divsChild>
                    <w:div w:id="660079309">
                      <w:marLeft w:val="0"/>
                      <w:marRight w:val="0"/>
                      <w:marTop w:val="0"/>
                      <w:marBottom w:val="0"/>
                      <w:divBdr>
                        <w:top w:val="none" w:sz="0" w:space="0" w:color="auto"/>
                        <w:left w:val="none" w:sz="0" w:space="0" w:color="auto"/>
                        <w:bottom w:val="none" w:sz="0" w:space="0" w:color="auto"/>
                        <w:right w:val="none" w:sz="0" w:space="0" w:color="auto"/>
                      </w:divBdr>
                      <w:divsChild>
                        <w:div w:id="1556240771">
                          <w:marLeft w:val="0"/>
                          <w:marRight w:val="0"/>
                          <w:marTop w:val="0"/>
                          <w:marBottom w:val="0"/>
                          <w:divBdr>
                            <w:top w:val="none" w:sz="0" w:space="0" w:color="auto"/>
                            <w:left w:val="none" w:sz="0" w:space="0" w:color="auto"/>
                            <w:bottom w:val="none" w:sz="0" w:space="0" w:color="auto"/>
                            <w:right w:val="none" w:sz="0" w:space="0" w:color="auto"/>
                          </w:divBdr>
                          <w:divsChild>
                            <w:div w:id="781068293">
                              <w:marLeft w:val="0"/>
                              <w:marRight w:val="0"/>
                              <w:marTop w:val="0"/>
                              <w:marBottom w:val="0"/>
                              <w:divBdr>
                                <w:top w:val="none" w:sz="0" w:space="0" w:color="auto"/>
                                <w:left w:val="none" w:sz="0" w:space="0" w:color="auto"/>
                                <w:bottom w:val="none" w:sz="0" w:space="0" w:color="auto"/>
                                <w:right w:val="none" w:sz="0" w:space="0" w:color="auto"/>
                              </w:divBdr>
                              <w:divsChild>
                                <w:div w:id="13344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413294">
      <w:bodyDiv w:val="1"/>
      <w:marLeft w:val="0"/>
      <w:marRight w:val="0"/>
      <w:marTop w:val="0"/>
      <w:marBottom w:val="0"/>
      <w:divBdr>
        <w:top w:val="none" w:sz="0" w:space="0" w:color="auto"/>
        <w:left w:val="none" w:sz="0" w:space="0" w:color="auto"/>
        <w:bottom w:val="none" w:sz="0" w:space="0" w:color="auto"/>
        <w:right w:val="none" w:sz="0" w:space="0" w:color="auto"/>
      </w:divBdr>
      <w:divsChild>
        <w:div w:id="1052191543">
          <w:marLeft w:val="0"/>
          <w:marRight w:val="0"/>
          <w:marTop w:val="0"/>
          <w:marBottom w:val="0"/>
          <w:divBdr>
            <w:top w:val="none" w:sz="0" w:space="0" w:color="auto"/>
            <w:left w:val="none" w:sz="0" w:space="0" w:color="auto"/>
            <w:bottom w:val="none" w:sz="0" w:space="0" w:color="auto"/>
            <w:right w:val="none" w:sz="0" w:space="0" w:color="auto"/>
          </w:divBdr>
          <w:divsChild>
            <w:div w:id="51512545">
              <w:marLeft w:val="0"/>
              <w:marRight w:val="0"/>
              <w:marTop w:val="0"/>
              <w:marBottom w:val="0"/>
              <w:divBdr>
                <w:top w:val="none" w:sz="0" w:space="0" w:color="auto"/>
                <w:left w:val="none" w:sz="0" w:space="0" w:color="auto"/>
                <w:bottom w:val="none" w:sz="0" w:space="0" w:color="auto"/>
                <w:right w:val="none" w:sz="0" w:space="0" w:color="auto"/>
              </w:divBdr>
              <w:divsChild>
                <w:div w:id="2097749845">
                  <w:marLeft w:val="0"/>
                  <w:marRight w:val="0"/>
                  <w:marTop w:val="0"/>
                  <w:marBottom w:val="0"/>
                  <w:divBdr>
                    <w:top w:val="none" w:sz="0" w:space="0" w:color="auto"/>
                    <w:left w:val="none" w:sz="0" w:space="0" w:color="auto"/>
                    <w:bottom w:val="none" w:sz="0" w:space="0" w:color="auto"/>
                    <w:right w:val="none" w:sz="0" w:space="0" w:color="auto"/>
                  </w:divBdr>
                  <w:divsChild>
                    <w:div w:id="1293319056">
                      <w:marLeft w:val="0"/>
                      <w:marRight w:val="0"/>
                      <w:marTop w:val="0"/>
                      <w:marBottom w:val="0"/>
                      <w:divBdr>
                        <w:top w:val="none" w:sz="0" w:space="0" w:color="auto"/>
                        <w:left w:val="none" w:sz="0" w:space="0" w:color="auto"/>
                        <w:bottom w:val="none" w:sz="0" w:space="0" w:color="auto"/>
                        <w:right w:val="none" w:sz="0" w:space="0" w:color="auto"/>
                      </w:divBdr>
                      <w:divsChild>
                        <w:div w:id="516575526">
                          <w:marLeft w:val="0"/>
                          <w:marRight w:val="0"/>
                          <w:marTop w:val="0"/>
                          <w:marBottom w:val="0"/>
                          <w:divBdr>
                            <w:top w:val="none" w:sz="0" w:space="0" w:color="auto"/>
                            <w:left w:val="none" w:sz="0" w:space="0" w:color="auto"/>
                            <w:bottom w:val="none" w:sz="0" w:space="0" w:color="auto"/>
                            <w:right w:val="none" w:sz="0" w:space="0" w:color="auto"/>
                          </w:divBdr>
                          <w:divsChild>
                            <w:div w:id="1937205923">
                              <w:marLeft w:val="0"/>
                              <w:marRight w:val="0"/>
                              <w:marTop w:val="0"/>
                              <w:marBottom w:val="0"/>
                              <w:divBdr>
                                <w:top w:val="none" w:sz="0" w:space="0" w:color="auto"/>
                                <w:left w:val="none" w:sz="0" w:space="0" w:color="auto"/>
                                <w:bottom w:val="none" w:sz="0" w:space="0" w:color="auto"/>
                                <w:right w:val="none" w:sz="0" w:space="0" w:color="auto"/>
                              </w:divBdr>
                              <w:divsChild>
                                <w:div w:id="130366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104754">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cienda.gobierno.pr/publicaciones/carta-circular-de-politica-contributiva-num-15-10" TargetMode="External"/><Relationship Id="rId18" Type="http://schemas.openxmlformats.org/officeDocument/2006/relationships/diagramLayout" Target="diagrams/layout1.xml"/><Relationship Id="rId26" Type="http://schemas.openxmlformats.org/officeDocument/2006/relationships/diagramColors" Target="diagrams/colors2.xml"/><Relationship Id="rId21" Type="http://schemas.microsoft.com/office/2007/relationships/diagramDrawing" Target="diagrams/drawing1.xml"/><Relationship Id="rId34" Type="http://schemas.openxmlformats.org/officeDocument/2006/relationships/fontTable" Target="fontTable.xml"/><Relationship Id="rId63"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hacienda.gobierno.pr/publicaciones/carta-circular-de-politica-contributiva-num-15-09" TargetMode="External"/><Relationship Id="rId17" Type="http://schemas.openxmlformats.org/officeDocument/2006/relationships/diagramData" Target="diagrams/data1.xml"/><Relationship Id="rId25" Type="http://schemas.openxmlformats.org/officeDocument/2006/relationships/diagramQuickStyle" Target="diagrams/quickStyle2.xm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diagramColors" Target="diagrams/colors1.xml"/><Relationship Id="rId29" Type="http://schemas.openxmlformats.org/officeDocument/2006/relationships/header" Target="header2.xm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cienda.gobierno.pr/publicaciones/carta-circular-de-politica-contributiva-num-15-08" TargetMode="External"/><Relationship Id="rId24" Type="http://schemas.openxmlformats.org/officeDocument/2006/relationships/diagramLayout" Target="diagrams/layout2.xm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hacienda.pr.gov/sites/default/files/codigo_de_rentas_internas_11-19-2014_0.pdf" TargetMode="External"/><Relationship Id="rId23" Type="http://schemas.openxmlformats.org/officeDocument/2006/relationships/diagramData" Target="diagrams/data2.xm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diagramQuickStyle" Target="diagrams/quickStyle1.xml"/><Relationship Id="rId31" Type="http://schemas.openxmlformats.org/officeDocument/2006/relationships/footer" Target="footer2.xml"/><Relationship Id="rId65"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acienda.gobierno.pr/publicaciones/carta-circular-de-politica-contributiva-num-15-11" TargetMode="External"/><Relationship Id="rId22" Type="http://schemas.openxmlformats.org/officeDocument/2006/relationships/hyperlink" Target="http://actualizatuterminal.com" TargetMode="External"/><Relationship Id="rId27" Type="http://schemas.microsoft.com/office/2007/relationships/diagramDrawing" Target="diagrams/drawing2.xml"/><Relationship Id="rId30" Type="http://schemas.openxmlformats.org/officeDocument/2006/relationships/footer" Target="footer1.xml"/><Relationship Id="rId35" Type="http://schemas.openxmlformats.org/officeDocument/2006/relationships/theme" Target="theme/theme1.xml"/><Relationship Id="rId64" Type="http://schemas.openxmlformats.org/officeDocument/2006/relationships/customXml" Target="../customXml/item3.xml"/><Relationship Id="rId8" Type="http://schemas.openxmlformats.org/officeDocument/2006/relationships/image" Target="media/image1.jpe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1E9C98-7E79-4054-8353-26841D64D135}" type="doc">
      <dgm:prSet loTypeId="urn:microsoft.com/office/officeart/2005/8/layout/process1" loCatId="process" qsTypeId="urn:microsoft.com/office/officeart/2005/8/quickstyle/3d2" qsCatId="3D" csTypeId="urn:microsoft.com/office/officeart/2005/8/colors/colorful5" csCatId="colorful" phldr="1"/>
      <dgm:spPr/>
    </dgm:pt>
    <dgm:pt modelId="{FDFD3CA3-D18E-451D-B658-1CE0A51F2830}">
      <dgm:prSet phldrT="[Text]" custT="1"/>
      <dgm:spPr/>
      <dgm:t>
        <a:bodyPr/>
        <a:lstStyle/>
        <a:p>
          <a:pPr algn="ctr"/>
          <a:r>
            <a:rPr lang="en-US" sz="1200" b="1">
              <a:solidFill>
                <a:sysClr val="windowText" lastClr="000000"/>
              </a:solidFill>
              <a:latin typeface="Times New Roman" pitchFamily="18" charset="0"/>
              <a:cs typeface="Times New Roman" pitchFamily="18" charset="0"/>
            </a:rPr>
            <a:t>1 julio 2015- Aumento IVU al 11.5%</a:t>
          </a:r>
        </a:p>
      </dgm:t>
    </dgm:pt>
    <dgm:pt modelId="{FB49CE59-8890-4E17-9AFC-43AECE8CFE64}" type="parTrans" cxnId="{CEE21E3C-ED73-4BD2-9A3A-6B1C1F72D177}">
      <dgm:prSet/>
      <dgm:spPr/>
      <dgm:t>
        <a:bodyPr/>
        <a:lstStyle/>
        <a:p>
          <a:pPr algn="l"/>
          <a:endParaRPr lang="en-US"/>
        </a:p>
      </dgm:t>
    </dgm:pt>
    <dgm:pt modelId="{889BF3E6-17CD-4DDB-A65C-3336E009F6F9}" type="sibTrans" cxnId="{CEE21E3C-ED73-4BD2-9A3A-6B1C1F72D177}">
      <dgm:prSet/>
      <dgm:spPr/>
      <dgm:t>
        <a:bodyPr/>
        <a:lstStyle/>
        <a:p>
          <a:pPr algn="l"/>
          <a:endParaRPr lang="en-US"/>
        </a:p>
      </dgm:t>
    </dgm:pt>
    <dgm:pt modelId="{0583833D-0007-4F43-B6FF-F293F20C4A43}">
      <dgm:prSet phldrT="[Text]" custT="1"/>
      <dgm:spPr/>
      <dgm:t>
        <a:bodyPr/>
        <a:lstStyle/>
        <a:p>
          <a:pPr algn="ctr"/>
          <a:r>
            <a:rPr lang="en-US" sz="1200" b="1">
              <a:solidFill>
                <a:sysClr val="windowText" lastClr="000000"/>
              </a:solidFill>
              <a:latin typeface="Times New Roman" pitchFamily="18" charset="0"/>
              <a:cs typeface="Times New Roman" pitchFamily="18" charset="0"/>
            </a:rPr>
            <a:t>1 octubre 2015- IVU al 4%</a:t>
          </a:r>
        </a:p>
      </dgm:t>
    </dgm:pt>
    <dgm:pt modelId="{43AE1098-BEA7-402C-98D6-F2C4404DD8BE}" type="parTrans" cxnId="{D06473F8-992D-4787-AFF2-0304C8E1A8CC}">
      <dgm:prSet/>
      <dgm:spPr/>
      <dgm:t>
        <a:bodyPr/>
        <a:lstStyle/>
        <a:p>
          <a:pPr algn="l"/>
          <a:endParaRPr lang="en-US"/>
        </a:p>
      </dgm:t>
    </dgm:pt>
    <dgm:pt modelId="{EB4F4EB4-19B8-43BD-BB23-7929B9D841F0}" type="sibTrans" cxnId="{D06473F8-992D-4787-AFF2-0304C8E1A8CC}">
      <dgm:prSet/>
      <dgm:spPr/>
      <dgm:t>
        <a:bodyPr/>
        <a:lstStyle/>
        <a:p>
          <a:pPr algn="l"/>
          <a:endParaRPr lang="en-US"/>
        </a:p>
      </dgm:t>
    </dgm:pt>
    <dgm:pt modelId="{387CF361-0712-476D-9C16-983DF38A4C55}">
      <dgm:prSet phldrT="[Text]" custT="1"/>
      <dgm:spPr/>
      <dgm:t>
        <a:bodyPr/>
        <a:lstStyle/>
        <a:p>
          <a:pPr algn="l"/>
          <a:r>
            <a:rPr lang="en-US" sz="1000">
              <a:solidFill>
                <a:sysClr val="windowText" lastClr="000000"/>
              </a:solidFill>
              <a:latin typeface="Times New Roman" pitchFamily="18" charset="0"/>
              <a:cs typeface="Times New Roman" pitchFamily="18" charset="0"/>
            </a:rPr>
            <a:t>Partidas tributables, incluyendo propiedad mueble tangible (bienes) y servicios Tributables.</a:t>
          </a:r>
        </a:p>
      </dgm:t>
    </dgm:pt>
    <dgm:pt modelId="{8D6E056C-5CD1-4C41-A675-05C4D0251CDF}" type="parTrans" cxnId="{0F2034E4-DAE6-4BBF-8CD9-5BB75659F293}">
      <dgm:prSet/>
      <dgm:spPr/>
      <dgm:t>
        <a:bodyPr/>
        <a:lstStyle/>
        <a:p>
          <a:pPr algn="l"/>
          <a:endParaRPr lang="en-US"/>
        </a:p>
      </dgm:t>
    </dgm:pt>
    <dgm:pt modelId="{9F0D713D-1E7F-48CB-8464-D58B622E6C93}" type="sibTrans" cxnId="{0F2034E4-DAE6-4BBF-8CD9-5BB75659F293}">
      <dgm:prSet/>
      <dgm:spPr/>
      <dgm:t>
        <a:bodyPr/>
        <a:lstStyle/>
        <a:p>
          <a:pPr algn="l"/>
          <a:endParaRPr lang="en-US"/>
        </a:p>
      </dgm:t>
    </dgm:pt>
    <dgm:pt modelId="{F4BE7493-5ED1-41A5-8716-AA5395B9010B}">
      <dgm:prSet phldrT="[Text]" custT="1"/>
      <dgm:spPr/>
      <dgm:t>
        <a:bodyPr/>
        <a:lstStyle/>
        <a:p>
          <a:pPr algn="l"/>
          <a:r>
            <a:rPr lang="en-US" sz="1000">
              <a:solidFill>
                <a:sysClr val="windowText" lastClr="000000"/>
              </a:solidFill>
              <a:latin typeface="Times New Roman" pitchFamily="18" charset="0"/>
              <a:cs typeface="Times New Roman" pitchFamily="18" charset="0"/>
            </a:rPr>
            <a:t>Servicios entre Comerciantes</a:t>
          </a:r>
        </a:p>
      </dgm:t>
    </dgm:pt>
    <dgm:pt modelId="{B779EBEA-7D72-464C-9AB9-0254595DE4A5}" type="parTrans" cxnId="{ADE22CA1-8691-4986-B022-9A695DA52855}">
      <dgm:prSet/>
      <dgm:spPr/>
      <dgm:t>
        <a:bodyPr/>
        <a:lstStyle/>
        <a:p>
          <a:pPr algn="l"/>
          <a:endParaRPr lang="en-US"/>
        </a:p>
      </dgm:t>
    </dgm:pt>
    <dgm:pt modelId="{D605BCCD-A853-49A3-B2EB-AB077F636240}" type="sibTrans" cxnId="{ADE22CA1-8691-4986-B022-9A695DA52855}">
      <dgm:prSet/>
      <dgm:spPr/>
      <dgm:t>
        <a:bodyPr/>
        <a:lstStyle/>
        <a:p>
          <a:pPr algn="l"/>
          <a:endParaRPr lang="en-US"/>
        </a:p>
      </dgm:t>
    </dgm:pt>
    <dgm:pt modelId="{54CC184B-C1CB-438E-A0EA-5F83FA8AAB18}">
      <dgm:prSet phldrT="[Text]" custT="1"/>
      <dgm:spPr/>
      <dgm:t>
        <a:bodyPr/>
        <a:lstStyle/>
        <a:p>
          <a:pPr algn="l"/>
          <a:r>
            <a:rPr lang="en-US" sz="1000">
              <a:solidFill>
                <a:sysClr val="windowText" lastClr="000000"/>
              </a:solidFill>
              <a:latin typeface="Times New Roman" pitchFamily="18" charset="0"/>
              <a:cs typeface="Times New Roman" pitchFamily="18" charset="0"/>
            </a:rPr>
            <a:t>Servicios Profesionales Designados</a:t>
          </a:r>
        </a:p>
      </dgm:t>
    </dgm:pt>
    <dgm:pt modelId="{E98DFB47-9083-456F-9287-533E3EE77BFD}" type="parTrans" cxnId="{8D08E12D-60E6-4458-942F-DFA84D24DBD5}">
      <dgm:prSet/>
      <dgm:spPr/>
      <dgm:t>
        <a:bodyPr/>
        <a:lstStyle/>
        <a:p>
          <a:pPr algn="l"/>
          <a:endParaRPr lang="en-US"/>
        </a:p>
      </dgm:t>
    </dgm:pt>
    <dgm:pt modelId="{A6A6F029-92D0-4466-8459-9CDAD28BF9BD}" type="sibTrans" cxnId="{8D08E12D-60E6-4458-942F-DFA84D24DBD5}">
      <dgm:prSet/>
      <dgm:spPr/>
      <dgm:t>
        <a:bodyPr/>
        <a:lstStyle/>
        <a:p>
          <a:pPr algn="l"/>
          <a:endParaRPr lang="en-US"/>
        </a:p>
      </dgm:t>
    </dgm:pt>
    <dgm:pt modelId="{2153C04F-C5EF-4040-83FB-976DD54E2300}">
      <dgm:prSet phldrT="[Text]" custT="1"/>
      <dgm:spPr/>
      <dgm:t>
        <a:bodyPr/>
        <a:lstStyle/>
        <a:p>
          <a:pPr algn="l"/>
          <a:r>
            <a:rPr lang="en-US" sz="1000">
              <a:solidFill>
                <a:sysClr val="windowText" lastClr="000000"/>
              </a:solidFill>
              <a:latin typeface="Times New Roman" pitchFamily="18" charset="0"/>
              <a:cs typeface="Times New Roman" pitchFamily="18" charset="0"/>
            </a:rPr>
            <a:t>Obligación de radicación electrónica en PICO para todos los comerciantes.</a:t>
          </a:r>
        </a:p>
      </dgm:t>
    </dgm:pt>
    <dgm:pt modelId="{F57FDD8F-E594-42EE-B5E2-AAEA6C1F18FE}" type="parTrans" cxnId="{444F0392-1408-4AC1-8466-F29032A3E766}">
      <dgm:prSet/>
      <dgm:spPr/>
      <dgm:t>
        <a:bodyPr/>
        <a:lstStyle/>
        <a:p>
          <a:pPr algn="l"/>
          <a:endParaRPr lang="en-US"/>
        </a:p>
      </dgm:t>
    </dgm:pt>
    <dgm:pt modelId="{78942CD9-14FA-492E-935F-0F4E47239F31}" type="sibTrans" cxnId="{444F0392-1408-4AC1-8466-F29032A3E766}">
      <dgm:prSet/>
      <dgm:spPr/>
      <dgm:t>
        <a:bodyPr/>
        <a:lstStyle/>
        <a:p>
          <a:pPr algn="l"/>
          <a:endParaRPr lang="en-US"/>
        </a:p>
      </dgm:t>
    </dgm:pt>
    <dgm:pt modelId="{ACE86D87-ACEB-486D-B722-346BFA3EBDE4}" type="pres">
      <dgm:prSet presAssocID="{351E9C98-7E79-4054-8353-26841D64D135}" presName="Name0" presStyleCnt="0">
        <dgm:presLayoutVars>
          <dgm:dir/>
          <dgm:resizeHandles val="exact"/>
        </dgm:presLayoutVars>
      </dgm:prSet>
      <dgm:spPr/>
    </dgm:pt>
    <dgm:pt modelId="{4B01FAD6-FE53-4E16-9568-E3412634DEEC}" type="pres">
      <dgm:prSet presAssocID="{FDFD3CA3-D18E-451D-B658-1CE0A51F2830}" presName="node" presStyleLbl="node1" presStyleIdx="0" presStyleCnt="2" custScaleX="116816" custLinFactNeighborX="-948" custLinFactNeighborY="468">
        <dgm:presLayoutVars>
          <dgm:bulletEnabled val="1"/>
        </dgm:presLayoutVars>
      </dgm:prSet>
      <dgm:spPr/>
      <dgm:t>
        <a:bodyPr/>
        <a:lstStyle/>
        <a:p>
          <a:endParaRPr lang="en-US"/>
        </a:p>
      </dgm:t>
    </dgm:pt>
    <dgm:pt modelId="{417588F4-DD57-48DC-9F3C-C9539B6AF574}" type="pres">
      <dgm:prSet presAssocID="{889BF3E6-17CD-4DDB-A65C-3336E009F6F9}" presName="sibTrans" presStyleLbl="sibTrans2D1" presStyleIdx="0" presStyleCnt="1"/>
      <dgm:spPr/>
      <dgm:t>
        <a:bodyPr/>
        <a:lstStyle/>
        <a:p>
          <a:endParaRPr lang="es-PR"/>
        </a:p>
      </dgm:t>
    </dgm:pt>
    <dgm:pt modelId="{C77D64A2-B80C-4503-A93D-7723FD116C14}" type="pres">
      <dgm:prSet presAssocID="{889BF3E6-17CD-4DDB-A65C-3336E009F6F9}" presName="connectorText" presStyleLbl="sibTrans2D1" presStyleIdx="0" presStyleCnt="1"/>
      <dgm:spPr/>
      <dgm:t>
        <a:bodyPr/>
        <a:lstStyle/>
        <a:p>
          <a:endParaRPr lang="es-PR"/>
        </a:p>
      </dgm:t>
    </dgm:pt>
    <dgm:pt modelId="{D7AA93CD-E3CB-42C3-8EA8-B77A49A8A6EF}" type="pres">
      <dgm:prSet presAssocID="{0583833D-0007-4F43-B6FF-F293F20C4A43}" presName="node" presStyleLbl="node1" presStyleIdx="1" presStyleCnt="2" custScaleX="121221" custLinFactNeighborX="2364" custLinFactNeighborY="-3941">
        <dgm:presLayoutVars>
          <dgm:bulletEnabled val="1"/>
        </dgm:presLayoutVars>
      </dgm:prSet>
      <dgm:spPr/>
      <dgm:t>
        <a:bodyPr/>
        <a:lstStyle/>
        <a:p>
          <a:endParaRPr lang="en-US"/>
        </a:p>
      </dgm:t>
    </dgm:pt>
  </dgm:ptLst>
  <dgm:cxnLst>
    <dgm:cxn modelId="{D06473F8-992D-4787-AFF2-0304C8E1A8CC}" srcId="{351E9C98-7E79-4054-8353-26841D64D135}" destId="{0583833D-0007-4F43-B6FF-F293F20C4A43}" srcOrd="1" destOrd="0" parTransId="{43AE1098-BEA7-402C-98D6-F2C4404DD8BE}" sibTransId="{EB4F4EB4-19B8-43BD-BB23-7929B9D841F0}"/>
    <dgm:cxn modelId="{5B1372A2-EA6F-4946-AE73-AEE73C0885BC}" type="presOf" srcId="{351E9C98-7E79-4054-8353-26841D64D135}" destId="{ACE86D87-ACEB-486D-B722-346BFA3EBDE4}" srcOrd="0" destOrd="0" presId="urn:microsoft.com/office/officeart/2005/8/layout/process1"/>
    <dgm:cxn modelId="{289A8389-5DC9-491F-9ECE-1A8FDEC57818}" type="presOf" srcId="{0583833D-0007-4F43-B6FF-F293F20C4A43}" destId="{D7AA93CD-E3CB-42C3-8EA8-B77A49A8A6EF}" srcOrd="0" destOrd="0" presId="urn:microsoft.com/office/officeart/2005/8/layout/process1"/>
    <dgm:cxn modelId="{ACE38C79-0EDF-4DB6-A7E4-66938D22F682}" type="presOf" srcId="{54CC184B-C1CB-438E-A0EA-5F83FA8AAB18}" destId="{D7AA93CD-E3CB-42C3-8EA8-B77A49A8A6EF}" srcOrd="0" destOrd="2" presId="urn:microsoft.com/office/officeart/2005/8/layout/process1"/>
    <dgm:cxn modelId="{ADE22CA1-8691-4986-B022-9A695DA52855}" srcId="{0583833D-0007-4F43-B6FF-F293F20C4A43}" destId="{F4BE7493-5ED1-41A5-8716-AA5395B9010B}" srcOrd="0" destOrd="0" parTransId="{B779EBEA-7D72-464C-9AB9-0254595DE4A5}" sibTransId="{D605BCCD-A853-49A3-B2EB-AB077F636240}"/>
    <dgm:cxn modelId="{7DE17CAB-D8E3-44A7-9357-B3D409B565D5}" type="presOf" srcId="{387CF361-0712-476D-9C16-983DF38A4C55}" destId="{4B01FAD6-FE53-4E16-9568-E3412634DEEC}" srcOrd="0" destOrd="1" presId="urn:microsoft.com/office/officeart/2005/8/layout/process1"/>
    <dgm:cxn modelId="{444F0392-1408-4AC1-8466-F29032A3E766}" srcId="{FDFD3CA3-D18E-451D-B658-1CE0A51F2830}" destId="{2153C04F-C5EF-4040-83FB-976DD54E2300}" srcOrd="1" destOrd="0" parTransId="{F57FDD8F-E594-42EE-B5E2-AAEA6C1F18FE}" sibTransId="{78942CD9-14FA-492E-935F-0F4E47239F31}"/>
    <dgm:cxn modelId="{7D61359E-CDA0-4BC6-9A37-8BD7B0238EC7}" type="presOf" srcId="{889BF3E6-17CD-4DDB-A65C-3336E009F6F9}" destId="{417588F4-DD57-48DC-9F3C-C9539B6AF574}" srcOrd="0" destOrd="0" presId="urn:microsoft.com/office/officeart/2005/8/layout/process1"/>
    <dgm:cxn modelId="{9A014C0A-08AD-449A-A97A-7307951703F4}" type="presOf" srcId="{F4BE7493-5ED1-41A5-8716-AA5395B9010B}" destId="{D7AA93CD-E3CB-42C3-8EA8-B77A49A8A6EF}" srcOrd="0" destOrd="1" presId="urn:microsoft.com/office/officeart/2005/8/layout/process1"/>
    <dgm:cxn modelId="{C993F13E-FD54-4C63-A52A-889012A2B68F}" type="presOf" srcId="{FDFD3CA3-D18E-451D-B658-1CE0A51F2830}" destId="{4B01FAD6-FE53-4E16-9568-E3412634DEEC}" srcOrd="0" destOrd="0" presId="urn:microsoft.com/office/officeart/2005/8/layout/process1"/>
    <dgm:cxn modelId="{7E774252-B313-41C9-85CD-55BAC4DC58B7}" type="presOf" srcId="{889BF3E6-17CD-4DDB-A65C-3336E009F6F9}" destId="{C77D64A2-B80C-4503-A93D-7723FD116C14}" srcOrd="1" destOrd="0" presId="urn:microsoft.com/office/officeart/2005/8/layout/process1"/>
    <dgm:cxn modelId="{CEE21E3C-ED73-4BD2-9A3A-6B1C1F72D177}" srcId="{351E9C98-7E79-4054-8353-26841D64D135}" destId="{FDFD3CA3-D18E-451D-B658-1CE0A51F2830}" srcOrd="0" destOrd="0" parTransId="{FB49CE59-8890-4E17-9AFC-43AECE8CFE64}" sibTransId="{889BF3E6-17CD-4DDB-A65C-3336E009F6F9}"/>
    <dgm:cxn modelId="{0F2034E4-DAE6-4BBF-8CD9-5BB75659F293}" srcId="{FDFD3CA3-D18E-451D-B658-1CE0A51F2830}" destId="{387CF361-0712-476D-9C16-983DF38A4C55}" srcOrd="0" destOrd="0" parTransId="{8D6E056C-5CD1-4C41-A675-05C4D0251CDF}" sibTransId="{9F0D713D-1E7F-48CB-8464-D58B622E6C93}"/>
    <dgm:cxn modelId="{664BB1F6-A779-41EF-AFB2-869AC22C32B4}" type="presOf" srcId="{2153C04F-C5EF-4040-83FB-976DD54E2300}" destId="{4B01FAD6-FE53-4E16-9568-E3412634DEEC}" srcOrd="0" destOrd="2" presId="urn:microsoft.com/office/officeart/2005/8/layout/process1"/>
    <dgm:cxn modelId="{8D08E12D-60E6-4458-942F-DFA84D24DBD5}" srcId="{0583833D-0007-4F43-B6FF-F293F20C4A43}" destId="{54CC184B-C1CB-438E-A0EA-5F83FA8AAB18}" srcOrd="1" destOrd="0" parTransId="{E98DFB47-9083-456F-9287-533E3EE77BFD}" sibTransId="{A6A6F029-92D0-4466-8459-9CDAD28BF9BD}"/>
    <dgm:cxn modelId="{E1321FC7-966F-47D6-8FE6-B7DCC57ED87E}" type="presParOf" srcId="{ACE86D87-ACEB-486D-B722-346BFA3EBDE4}" destId="{4B01FAD6-FE53-4E16-9568-E3412634DEEC}" srcOrd="0" destOrd="0" presId="urn:microsoft.com/office/officeart/2005/8/layout/process1"/>
    <dgm:cxn modelId="{D1DF5AC3-5770-4CBF-B1B0-3AEA4ACE1797}" type="presParOf" srcId="{ACE86D87-ACEB-486D-B722-346BFA3EBDE4}" destId="{417588F4-DD57-48DC-9F3C-C9539B6AF574}" srcOrd="1" destOrd="0" presId="urn:microsoft.com/office/officeart/2005/8/layout/process1"/>
    <dgm:cxn modelId="{1575B2D3-59BE-41CE-ABD5-E77553C7F553}" type="presParOf" srcId="{417588F4-DD57-48DC-9F3C-C9539B6AF574}" destId="{C77D64A2-B80C-4503-A93D-7723FD116C14}" srcOrd="0" destOrd="0" presId="urn:microsoft.com/office/officeart/2005/8/layout/process1"/>
    <dgm:cxn modelId="{35E092C3-57A6-4C29-A29A-C5CA720DD0BE}" type="presParOf" srcId="{ACE86D87-ACEB-486D-B722-346BFA3EBDE4}" destId="{D7AA93CD-E3CB-42C3-8EA8-B77A49A8A6EF}" srcOrd="2" destOrd="0" presId="urn:microsoft.com/office/officeart/2005/8/layout/process1"/>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8F9DF39-4EA8-4C61-8BC7-B5AA5F4014E0}" type="doc">
      <dgm:prSet loTypeId="urn:microsoft.com/office/officeart/2005/8/layout/list1" loCatId="list" qsTypeId="urn:microsoft.com/office/officeart/2005/8/quickstyle/3d2" qsCatId="3D" csTypeId="urn:microsoft.com/office/officeart/2005/8/colors/accent5_2" csCatId="accent5" phldr="1"/>
      <dgm:spPr/>
      <dgm:t>
        <a:bodyPr/>
        <a:lstStyle/>
        <a:p>
          <a:endParaRPr lang="en-US"/>
        </a:p>
      </dgm:t>
    </dgm:pt>
    <dgm:pt modelId="{FC9DA93B-01CD-4C7F-BB5F-A3DC56CFF980}">
      <dgm:prSet phldrT="[Text]" custT="1"/>
      <dgm:spPr/>
      <dgm:t>
        <a:bodyPr/>
        <a:lstStyle/>
        <a:p>
          <a:r>
            <a:rPr lang="en-US" sz="1000">
              <a:solidFill>
                <a:sysClr val="windowText" lastClr="000000"/>
              </a:solidFill>
              <a:latin typeface="Times New Roman" pitchFamily="18" charset="0"/>
              <a:cs typeface="Times New Roman" pitchFamily="18" charset="0"/>
            </a:rPr>
            <a:t>La tasa del IVU continuará vigente al 11.5% sobre bienes y servicios que tributan al 7%.</a:t>
          </a:r>
        </a:p>
      </dgm:t>
    </dgm:pt>
    <dgm:pt modelId="{062D4E9B-B994-4C69-AEC1-95CD3B741720}" type="parTrans" cxnId="{3ED00FFE-6E9F-42D5-896E-13864E4C9065}">
      <dgm:prSet/>
      <dgm:spPr/>
      <dgm:t>
        <a:bodyPr/>
        <a:lstStyle/>
        <a:p>
          <a:endParaRPr lang="en-US"/>
        </a:p>
      </dgm:t>
    </dgm:pt>
    <dgm:pt modelId="{F17F8EC6-D2A7-4334-9B99-435F36B5B8F0}" type="sibTrans" cxnId="{3ED00FFE-6E9F-42D5-896E-13864E4C9065}">
      <dgm:prSet/>
      <dgm:spPr/>
      <dgm:t>
        <a:bodyPr/>
        <a:lstStyle/>
        <a:p>
          <a:endParaRPr lang="en-US"/>
        </a:p>
      </dgm:t>
    </dgm:pt>
    <dgm:pt modelId="{22128C51-9632-4940-AC7A-07468483FCD4}">
      <dgm:prSet phldrT="[Text]" custT="1"/>
      <dgm:spPr/>
      <dgm:t>
        <a:bodyPr/>
        <a:lstStyle/>
        <a:p>
          <a:r>
            <a:rPr lang="en-US" sz="1000">
              <a:solidFill>
                <a:sysClr val="windowText" lastClr="000000"/>
              </a:solidFill>
              <a:latin typeface="Times New Roman" pitchFamily="18" charset="0"/>
              <a:cs typeface="Times New Roman" pitchFamily="18" charset="0"/>
            </a:rPr>
            <a:t>Los servicios tributales provistos por una persona no residente de Puerto Rico seran tributables al 11.5 y el IVU debera ser remitido al Departamento de Hacienda por la persona que recibe el servicio en Puerto Rico.</a:t>
          </a:r>
        </a:p>
      </dgm:t>
    </dgm:pt>
    <dgm:pt modelId="{BA83153B-A92A-491A-A4BD-D077C76C9D89}" type="parTrans" cxnId="{A328282F-F1A0-41B9-9C9A-E3DDE8A09DB1}">
      <dgm:prSet/>
      <dgm:spPr/>
      <dgm:t>
        <a:bodyPr/>
        <a:lstStyle/>
        <a:p>
          <a:endParaRPr lang="en-US"/>
        </a:p>
      </dgm:t>
    </dgm:pt>
    <dgm:pt modelId="{7012D111-1974-48A0-8F50-DFC174C116D0}" type="sibTrans" cxnId="{A328282F-F1A0-41B9-9C9A-E3DDE8A09DB1}">
      <dgm:prSet/>
      <dgm:spPr/>
      <dgm:t>
        <a:bodyPr/>
        <a:lstStyle/>
        <a:p>
          <a:endParaRPr lang="en-US"/>
        </a:p>
      </dgm:t>
    </dgm:pt>
    <dgm:pt modelId="{54A5CA61-1E7E-4885-8702-208468F4D4B4}">
      <dgm:prSet phldrT="[Text]" custT="1"/>
      <dgm:spPr/>
      <dgm:t>
        <a:bodyPr/>
        <a:lstStyle/>
        <a:p>
          <a:r>
            <a:rPr lang="en-US" sz="1000">
              <a:solidFill>
                <a:sysClr val="windowText" lastClr="000000"/>
              </a:solidFill>
              <a:latin typeface="Times New Roman" pitchFamily="18" charset="0"/>
              <a:cs typeface="Times New Roman" pitchFamily="18" charset="0"/>
            </a:rPr>
            <a:t>Los servicios profesionales designados previamente exentos de IVU estarán sujetos al IVU  a una tasa del 4%.</a:t>
          </a:r>
        </a:p>
      </dgm:t>
    </dgm:pt>
    <dgm:pt modelId="{7BD649D5-43A4-4765-842F-4FD604233FC6}" type="parTrans" cxnId="{056D599B-09B8-471D-A858-9472885E6707}">
      <dgm:prSet/>
      <dgm:spPr/>
      <dgm:t>
        <a:bodyPr/>
        <a:lstStyle/>
        <a:p>
          <a:endParaRPr lang="en-US"/>
        </a:p>
      </dgm:t>
    </dgm:pt>
    <dgm:pt modelId="{55F09795-AD27-448D-82E9-53856561D07C}" type="sibTrans" cxnId="{056D599B-09B8-471D-A858-9472885E6707}">
      <dgm:prSet/>
      <dgm:spPr/>
      <dgm:t>
        <a:bodyPr/>
        <a:lstStyle/>
        <a:p>
          <a:endParaRPr lang="en-US"/>
        </a:p>
      </dgm:t>
    </dgm:pt>
    <dgm:pt modelId="{75931C85-A046-4835-90C0-F6B92077C1EC}">
      <dgm:prSet custT="1"/>
      <dgm:spPr/>
      <dgm:t>
        <a:bodyPr/>
        <a:lstStyle/>
        <a:p>
          <a:r>
            <a:rPr lang="en-US" sz="1000">
              <a:solidFill>
                <a:sysClr val="windowText" lastClr="000000"/>
              </a:solidFill>
              <a:latin typeface="Times New Roman" pitchFamily="18" charset="0"/>
              <a:cs typeface="Times New Roman" pitchFamily="18" charset="0"/>
            </a:rPr>
            <a:t>Los servicios entre comerciantes previamente exentos de IVU estarán sujetos al IVU  a una tasa de 4%.</a:t>
          </a:r>
        </a:p>
      </dgm:t>
    </dgm:pt>
    <dgm:pt modelId="{140D8164-652C-4636-9B26-9A4770D1259D}" type="parTrans" cxnId="{DD9F4F6B-B1DF-4601-90B5-EBF71469CCC9}">
      <dgm:prSet/>
      <dgm:spPr/>
      <dgm:t>
        <a:bodyPr/>
        <a:lstStyle/>
        <a:p>
          <a:endParaRPr lang="en-US"/>
        </a:p>
      </dgm:t>
    </dgm:pt>
    <dgm:pt modelId="{7A0E877C-E3BF-4DE8-B3C9-FD9C46078593}" type="sibTrans" cxnId="{DD9F4F6B-B1DF-4601-90B5-EBF71469CCC9}">
      <dgm:prSet/>
      <dgm:spPr/>
      <dgm:t>
        <a:bodyPr/>
        <a:lstStyle/>
        <a:p>
          <a:endParaRPr lang="en-US"/>
        </a:p>
      </dgm:t>
    </dgm:pt>
    <dgm:pt modelId="{BB66885D-9E21-4D44-B6D5-3C09BFDB9A24}" type="pres">
      <dgm:prSet presAssocID="{38F9DF39-4EA8-4C61-8BC7-B5AA5F4014E0}" presName="linear" presStyleCnt="0">
        <dgm:presLayoutVars>
          <dgm:dir/>
          <dgm:animLvl val="lvl"/>
          <dgm:resizeHandles val="exact"/>
        </dgm:presLayoutVars>
      </dgm:prSet>
      <dgm:spPr/>
      <dgm:t>
        <a:bodyPr/>
        <a:lstStyle/>
        <a:p>
          <a:endParaRPr lang="en-US"/>
        </a:p>
      </dgm:t>
    </dgm:pt>
    <dgm:pt modelId="{1865F1B9-8792-42DF-9781-66025C5E1ED6}" type="pres">
      <dgm:prSet presAssocID="{FC9DA93B-01CD-4C7F-BB5F-A3DC56CFF980}" presName="parentLin" presStyleCnt="0"/>
      <dgm:spPr/>
    </dgm:pt>
    <dgm:pt modelId="{C35EC5BF-EF38-4FBE-BC31-4BC027E03C29}" type="pres">
      <dgm:prSet presAssocID="{FC9DA93B-01CD-4C7F-BB5F-A3DC56CFF980}" presName="parentLeftMargin" presStyleLbl="node1" presStyleIdx="0" presStyleCnt="4"/>
      <dgm:spPr/>
      <dgm:t>
        <a:bodyPr/>
        <a:lstStyle/>
        <a:p>
          <a:endParaRPr lang="en-US"/>
        </a:p>
      </dgm:t>
    </dgm:pt>
    <dgm:pt modelId="{F84CD28B-0C73-48F9-B0C0-AC63EBC4E8F9}" type="pres">
      <dgm:prSet presAssocID="{FC9DA93B-01CD-4C7F-BB5F-A3DC56CFF980}" presName="parentText" presStyleLbl="node1" presStyleIdx="0" presStyleCnt="4">
        <dgm:presLayoutVars>
          <dgm:chMax val="0"/>
          <dgm:bulletEnabled val="1"/>
        </dgm:presLayoutVars>
      </dgm:prSet>
      <dgm:spPr/>
      <dgm:t>
        <a:bodyPr/>
        <a:lstStyle/>
        <a:p>
          <a:endParaRPr lang="en-US"/>
        </a:p>
      </dgm:t>
    </dgm:pt>
    <dgm:pt modelId="{CAB9B613-82A1-4533-BE90-205583D0BDAC}" type="pres">
      <dgm:prSet presAssocID="{FC9DA93B-01CD-4C7F-BB5F-A3DC56CFF980}" presName="negativeSpace" presStyleCnt="0"/>
      <dgm:spPr/>
    </dgm:pt>
    <dgm:pt modelId="{0E82564D-90A1-4B2D-8D0C-49B06A4BDCE4}" type="pres">
      <dgm:prSet presAssocID="{FC9DA93B-01CD-4C7F-BB5F-A3DC56CFF980}" presName="childText" presStyleLbl="conFgAcc1" presStyleIdx="0" presStyleCnt="4">
        <dgm:presLayoutVars>
          <dgm:bulletEnabled val="1"/>
        </dgm:presLayoutVars>
      </dgm:prSet>
      <dgm:spPr/>
    </dgm:pt>
    <dgm:pt modelId="{2ADAF019-A9EF-400F-B461-455389B00303}" type="pres">
      <dgm:prSet presAssocID="{F17F8EC6-D2A7-4334-9B99-435F36B5B8F0}" presName="spaceBetweenRectangles" presStyleCnt="0"/>
      <dgm:spPr/>
    </dgm:pt>
    <dgm:pt modelId="{B55C2937-A7A7-4D75-918D-6871CCDC3BFE}" type="pres">
      <dgm:prSet presAssocID="{22128C51-9632-4940-AC7A-07468483FCD4}" presName="parentLin" presStyleCnt="0"/>
      <dgm:spPr/>
    </dgm:pt>
    <dgm:pt modelId="{CE449F53-B5C0-47D7-BF23-0FE758789C8A}" type="pres">
      <dgm:prSet presAssocID="{22128C51-9632-4940-AC7A-07468483FCD4}" presName="parentLeftMargin" presStyleLbl="node1" presStyleIdx="0" presStyleCnt="4"/>
      <dgm:spPr/>
      <dgm:t>
        <a:bodyPr/>
        <a:lstStyle/>
        <a:p>
          <a:endParaRPr lang="en-US"/>
        </a:p>
      </dgm:t>
    </dgm:pt>
    <dgm:pt modelId="{B979A184-D43D-4CF9-ABF3-4886CB9E5165}" type="pres">
      <dgm:prSet presAssocID="{22128C51-9632-4940-AC7A-07468483FCD4}" presName="parentText" presStyleLbl="node1" presStyleIdx="1" presStyleCnt="4" custScaleY="111455">
        <dgm:presLayoutVars>
          <dgm:chMax val="0"/>
          <dgm:bulletEnabled val="1"/>
        </dgm:presLayoutVars>
      </dgm:prSet>
      <dgm:spPr/>
      <dgm:t>
        <a:bodyPr/>
        <a:lstStyle/>
        <a:p>
          <a:endParaRPr lang="en-US"/>
        </a:p>
      </dgm:t>
    </dgm:pt>
    <dgm:pt modelId="{19B133F2-F47D-4C07-A906-E0204139E78E}" type="pres">
      <dgm:prSet presAssocID="{22128C51-9632-4940-AC7A-07468483FCD4}" presName="negativeSpace" presStyleCnt="0"/>
      <dgm:spPr/>
    </dgm:pt>
    <dgm:pt modelId="{E8CAA419-5767-487B-8E96-4E068890C87E}" type="pres">
      <dgm:prSet presAssocID="{22128C51-9632-4940-AC7A-07468483FCD4}" presName="childText" presStyleLbl="conFgAcc1" presStyleIdx="1" presStyleCnt="4">
        <dgm:presLayoutVars>
          <dgm:bulletEnabled val="1"/>
        </dgm:presLayoutVars>
      </dgm:prSet>
      <dgm:spPr/>
    </dgm:pt>
    <dgm:pt modelId="{178B2251-0851-4486-8882-9C60B601C8C1}" type="pres">
      <dgm:prSet presAssocID="{7012D111-1974-48A0-8F50-DFC174C116D0}" presName="spaceBetweenRectangles" presStyleCnt="0"/>
      <dgm:spPr/>
    </dgm:pt>
    <dgm:pt modelId="{B95C0E53-9AE8-40A5-B368-2DEEEE5E8D56}" type="pres">
      <dgm:prSet presAssocID="{75931C85-A046-4835-90C0-F6B92077C1EC}" presName="parentLin" presStyleCnt="0"/>
      <dgm:spPr/>
    </dgm:pt>
    <dgm:pt modelId="{9EA5AC19-CD4A-4E74-BED9-5FB992137A36}" type="pres">
      <dgm:prSet presAssocID="{75931C85-A046-4835-90C0-F6B92077C1EC}" presName="parentLeftMargin" presStyleLbl="node1" presStyleIdx="1" presStyleCnt="4"/>
      <dgm:spPr/>
      <dgm:t>
        <a:bodyPr/>
        <a:lstStyle/>
        <a:p>
          <a:endParaRPr lang="en-US"/>
        </a:p>
      </dgm:t>
    </dgm:pt>
    <dgm:pt modelId="{78B5CA81-1596-4534-8DC1-BB96F4C45765}" type="pres">
      <dgm:prSet presAssocID="{75931C85-A046-4835-90C0-F6B92077C1EC}" presName="parentText" presStyleLbl="node1" presStyleIdx="2" presStyleCnt="4">
        <dgm:presLayoutVars>
          <dgm:chMax val="0"/>
          <dgm:bulletEnabled val="1"/>
        </dgm:presLayoutVars>
      </dgm:prSet>
      <dgm:spPr/>
      <dgm:t>
        <a:bodyPr/>
        <a:lstStyle/>
        <a:p>
          <a:endParaRPr lang="en-US"/>
        </a:p>
      </dgm:t>
    </dgm:pt>
    <dgm:pt modelId="{E489D6F6-0993-43A1-ABED-947891E731F1}" type="pres">
      <dgm:prSet presAssocID="{75931C85-A046-4835-90C0-F6B92077C1EC}" presName="negativeSpace" presStyleCnt="0"/>
      <dgm:spPr/>
    </dgm:pt>
    <dgm:pt modelId="{04D7E972-9161-468D-A2FE-08CFD0FF0091}" type="pres">
      <dgm:prSet presAssocID="{75931C85-A046-4835-90C0-F6B92077C1EC}" presName="childText" presStyleLbl="conFgAcc1" presStyleIdx="2" presStyleCnt="4">
        <dgm:presLayoutVars>
          <dgm:bulletEnabled val="1"/>
        </dgm:presLayoutVars>
      </dgm:prSet>
      <dgm:spPr/>
    </dgm:pt>
    <dgm:pt modelId="{5F6DE9EF-FAE5-4D82-A79A-4A84E7616C4D}" type="pres">
      <dgm:prSet presAssocID="{7A0E877C-E3BF-4DE8-B3C9-FD9C46078593}" presName="spaceBetweenRectangles" presStyleCnt="0"/>
      <dgm:spPr/>
    </dgm:pt>
    <dgm:pt modelId="{0E0F6050-5277-4D21-89A6-C65A2DBABCF9}" type="pres">
      <dgm:prSet presAssocID="{54A5CA61-1E7E-4885-8702-208468F4D4B4}" presName="parentLin" presStyleCnt="0"/>
      <dgm:spPr/>
    </dgm:pt>
    <dgm:pt modelId="{782D1121-0FF4-45A3-ADE3-EE0D52B9EA9D}" type="pres">
      <dgm:prSet presAssocID="{54A5CA61-1E7E-4885-8702-208468F4D4B4}" presName="parentLeftMargin" presStyleLbl="node1" presStyleIdx="2" presStyleCnt="4"/>
      <dgm:spPr/>
      <dgm:t>
        <a:bodyPr/>
        <a:lstStyle/>
        <a:p>
          <a:endParaRPr lang="en-US"/>
        </a:p>
      </dgm:t>
    </dgm:pt>
    <dgm:pt modelId="{CD7A0997-8B52-4C3A-BFC2-57506BF614CE}" type="pres">
      <dgm:prSet presAssocID="{54A5CA61-1E7E-4885-8702-208468F4D4B4}" presName="parentText" presStyleLbl="node1" presStyleIdx="3" presStyleCnt="4">
        <dgm:presLayoutVars>
          <dgm:chMax val="0"/>
          <dgm:bulletEnabled val="1"/>
        </dgm:presLayoutVars>
      </dgm:prSet>
      <dgm:spPr/>
      <dgm:t>
        <a:bodyPr/>
        <a:lstStyle/>
        <a:p>
          <a:endParaRPr lang="en-US"/>
        </a:p>
      </dgm:t>
    </dgm:pt>
    <dgm:pt modelId="{1022A651-C1E1-4B57-A531-F3772482A3BC}" type="pres">
      <dgm:prSet presAssocID="{54A5CA61-1E7E-4885-8702-208468F4D4B4}" presName="negativeSpace" presStyleCnt="0"/>
      <dgm:spPr/>
    </dgm:pt>
    <dgm:pt modelId="{322AD5BE-313F-47F0-8A76-2ABCAFF59631}" type="pres">
      <dgm:prSet presAssocID="{54A5CA61-1E7E-4885-8702-208468F4D4B4}" presName="childText" presStyleLbl="conFgAcc1" presStyleIdx="3" presStyleCnt="4">
        <dgm:presLayoutVars>
          <dgm:bulletEnabled val="1"/>
        </dgm:presLayoutVars>
      </dgm:prSet>
      <dgm:spPr/>
    </dgm:pt>
  </dgm:ptLst>
  <dgm:cxnLst>
    <dgm:cxn modelId="{A328282F-F1A0-41B9-9C9A-E3DDE8A09DB1}" srcId="{38F9DF39-4EA8-4C61-8BC7-B5AA5F4014E0}" destId="{22128C51-9632-4940-AC7A-07468483FCD4}" srcOrd="1" destOrd="0" parTransId="{BA83153B-A92A-491A-A4BD-D077C76C9D89}" sibTransId="{7012D111-1974-48A0-8F50-DFC174C116D0}"/>
    <dgm:cxn modelId="{6DA300F5-9F3C-4363-B235-70E9CE33A42C}" type="presOf" srcId="{54A5CA61-1E7E-4885-8702-208468F4D4B4}" destId="{CD7A0997-8B52-4C3A-BFC2-57506BF614CE}" srcOrd="1" destOrd="0" presId="urn:microsoft.com/office/officeart/2005/8/layout/list1"/>
    <dgm:cxn modelId="{1756DDBA-D8C7-472B-ABEF-05026E5F4AA0}" type="presOf" srcId="{22128C51-9632-4940-AC7A-07468483FCD4}" destId="{CE449F53-B5C0-47D7-BF23-0FE758789C8A}" srcOrd="0" destOrd="0" presId="urn:microsoft.com/office/officeart/2005/8/layout/list1"/>
    <dgm:cxn modelId="{83774DCF-AAA9-4D1E-8158-70198E7E9230}" type="presOf" srcId="{22128C51-9632-4940-AC7A-07468483FCD4}" destId="{B979A184-D43D-4CF9-ABF3-4886CB9E5165}" srcOrd="1" destOrd="0" presId="urn:microsoft.com/office/officeart/2005/8/layout/list1"/>
    <dgm:cxn modelId="{449182B4-6C19-4DBF-87CA-3A491939A7E6}" type="presOf" srcId="{54A5CA61-1E7E-4885-8702-208468F4D4B4}" destId="{782D1121-0FF4-45A3-ADE3-EE0D52B9EA9D}" srcOrd="0" destOrd="0" presId="urn:microsoft.com/office/officeart/2005/8/layout/list1"/>
    <dgm:cxn modelId="{056D599B-09B8-471D-A858-9472885E6707}" srcId="{38F9DF39-4EA8-4C61-8BC7-B5AA5F4014E0}" destId="{54A5CA61-1E7E-4885-8702-208468F4D4B4}" srcOrd="3" destOrd="0" parTransId="{7BD649D5-43A4-4765-842F-4FD604233FC6}" sibTransId="{55F09795-AD27-448D-82E9-53856561D07C}"/>
    <dgm:cxn modelId="{3ED00FFE-6E9F-42D5-896E-13864E4C9065}" srcId="{38F9DF39-4EA8-4C61-8BC7-B5AA5F4014E0}" destId="{FC9DA93B-01CD-4C7F-BB5F-A3DC56CFF980}" srcOrd="0" destOrd="0" parTransId="{062D4E9B-B994-4C69-AEC1-95CD3B741720}" sibTransId="{F17F8EC6-D2A7-4334-9B99-435F36B5B8F0}"/>
    <dgm:cxn modelId="{E7125BB0-028C-4FC9-8951-A1ECBE834CFB}" type="presOf" srcId="{FC9DA93B-01CD-4C7F-BB5F-A3DC56CFF980}" destId="{F84CD28B-0C73-48F9-B0C0-AC63EBC4E8F9}" srcOrd="1" destOrd="0" presId="urn:microsoft.com/office/officeart/2005/8/layout/list1"/>
    <dgm:cxn modelId="{2133F424-F8B6-4804-BAD0-FDC0EEE9D2CB}" type="presOf" srcId="{FC9DA93B-01CD-4C7F-BB5F-A3DC56CFF980}" destId="{C35EC5BF-EF38-4FBE-BC31-4BC027E03C29}" srcOrd="0" destOrd="0" presId="urn:microsoft.com/office/officeart/2005/8/layout/list1"/>
    <dgm:cxn modelId="{E00F29C2-7036-41BB-8E2B-FE6B4B6D5E99}" type="presOf" srcId="{38F9DF39-4EA8-4C61-8BC7-B5AA5F4014E0}" destId="{BB66885D-9E21-4D44-B6D5-3C09BFDB9A24}" srcOrd="0" destOrd="0" presId="urn:microsoft.com/office/officeart/2005/8/layout/list1"/>
    <dgm:cxn modelId="{E9A761F2-A85B-4471-88F0-4C32FFACC5E4}" type="presOf" srcId="{75931C85-A046-4835-90C0-F6B92077C1EC}" destId="{78B5CA81-1596-4534-8DC1-BB96F4C45765}" srcOrd="1" destOrd="0" presId="urn:microsoft.com/office/officeart/2005/8/layout/list1"/>
    <dgm:cxn modelId="{DD9F4F6B-B1DF-4601-90B5-EBF71469CCC9}" srcId="{38F9DF39-4EA8-4C61-8BC7-B5AA5F4014E0}" destId="{75931C85-A046-4835-90C0-F6B92077C1EC}" srcOrd="2" destOrd="0" parTransId="{140D8164-652C-4636-9B26-9A4770D1259D}" sibTransId="{7A0E877C-E3BF-4DE8-B3C9-FD9C46078593}"/>
    <dgm:cxn modelId="{FC0FDA9E-2490-47D1-BCF2-BDA92FCFB90D}" type="presOf" srcId="{75931C85-A046-4835-90C0-F6B92077C1EC}" destId="{9EA5AC19-CD4A-4E74-BED9-5FB992137A36}" srcOrd="0" destOrd="0" presId="urn:microsoft.com/office/officeart/2005/8/layout/list1"/>
    <dgm:cxn modelId="{1B48273C-704E-4A87-80D0-8FAC556278EE}" type="presParOf" srcId="{BB66885D-9E21-4D44-B6D5-3C09BFDB9A24}" destId="{1865F1B9-8792-42DF-9781-66025C5E1ED6}" srcOrd="0" destOrd="0" presId="urn:microsoft.com/office/officeart/2005/8/layout/list1"/>
    <dgm:cxn modelId="{B0838C8C-76D8-4ECD-957F-0F0057BC8CF3}" type="presParOf" srcId="{1865F1B9-8792-42DF-9781-66025C5E1ED6}" destId="{C35EC5BF-EF38-4FBE-BC31-4BC027E03C29}" srcOrd="0" destOrd="0" presId="urn:microsoft.com/office/officeart/2005/8/layout/list1"/>
    <dgm:cxn modelId="{F54B448E-0A1F-41B4-9DDD-A7BF79605B97}" type="presParOf" srcId="{1865F1B9-8792-42DF-9781-66025C5E1ED6}" destId="{F84CD28B-0C73-48F9-B0C0-AC63EBC4E8F9}" srcOrd="1" destOrd="0" presId="urn:microsoft.com/office/officeart/2005/8/layout/list1"/>
    <dgm:cxn modelId="{ED53C63A-8EA3-4208-AEDF-A8BBC13D5799}" type="presParOf" srcId="{BB66885D-9E21-4D44-B6D5-3C09BFDB9A24}" destId="{CAB9B613-82A1-4533-BE90-205583D0BDAC}" srcOrd="1" destOrd="0" presId="urn:microsoft.com/office/officeart/2005/8/layout/list1"/>
    <dgm:cxn modelId="{A76E3F6A-DB9A-4349-A8A4-39EFF7160C90}" type="presParOf" srcId="{BB66885D-9E21-4D44-B6D5-3C09BFDB9A24}" destId="{0E82564D-90A1-4B2D-8D0C-49B06A4BDCE4}" srcOrd="2" destOrd="0" presId="urn:microsoft.com/office/officeart/2005/8/layout/list1"/>
    <dgm:cxn modelId="{FF81BD71-1963-4640-B4B8-C01307F40026}" type="presParOf" srcId="{BB66885D-9E21-4D44-B6D5-3C09BFDB9A24}" destId="{2ADAF019-A9EF-400F-B461-455389B00303}" srcOrd="3" destOrd="0" presId="urn:microsoft.com/office/officeart/2005/8/layout/list1"/>
    <dgm:cxn modelId="{B56F4931-F4CC-4A9E-AC66-818673B9BBFB}" type="presParOf" srcId="{BB66885D-9E21-4D44-B6D5-3C09BFDB9A24}" destId="{B55C2937-A7A7-4D75-918D-6871CCDC3BFE}" srcOrd="4" destOrd="0" presId="urn:microsoft.com/office/officeart/2005/8/layout/list1"/>
    <dgm:cxn modelId="{3462AAAE-B566-49DD-ADD7-7F691B0EDD13}" type="presParOf" srcId="{B55C2937-A7A7-4D75-918D-6871CCDC3BFE}" destId="{CE449F53-B5C0-47D7-BF23-0FE758789C8A}" srcOrd="0" destOrd="0" presId="urn:microsoft.com/office/officeart/2005/8/layout/list1"/>
    <dgm:cxn modelId="{1FA34CF4-A682-4ED4-B6E0-824C2EF84356}" type="presParOf" srcId="{B55C2937-A7A7-4D75-918D-6871CCDC3BFE}" destId="{B979A184-D43D-4CF9-ABF3-4886CB9E5165}" srcOrd="1" destOrd="0" presId="urn:microsoft.com/office/officeart/2005/8/layout/list1"/>
    <dgm:cxn modelId="{816D8058-EF34-4548-AEC4-7AD4CC0D3CBF}" type="presParOf" srcId="{BB66885D-9E21-4D44-B6D5-3C09BFDB9A24}" destId="{19B133F2-F47D-4C07-A906-E0204139E78E}" srcOrd="5" destOrd="0" presId="urn:microsoft.com/office/officeart/2005/8/layout/list1"/>
    <dgm:cxn modelId="{56B8D5E2-367D-4BBC-BAD4-D09AB095527E}" type="presParOf" srcId="{BB66885D-9E21-4D44-B6D5-3C09BFDB9A24}" destId="{E8CAA419-5767-487B-8E96-4E068890C87E}" srcOrd="6" destOrd="0" presId="urn:microsoft.com/office/officeart/2005/8/layout/list1"/>
    <dgm:cxn modelId="{B93A8749-C40A-49BC-93A9-80F3A805A1FF}" type="presParOf" srcId="{BB66885D-9E21-4D44-B6D5-3C09BFDB9A24}" destId="{178B2251-0851-4486-8882-9C60B601C8C1}" srcOrd="7" destOrd="0" presId="urn:microsoft.com/office/officeart/2005/8/layout/list1"/>
    <dgm:cxn modelId="{2FC37652-1B70-4980-95BC-29EE68FBCCD3}" type="presParOf" srcId="{BB66885D-9E21-4D44-B6D5-3C09BFDB9A24}" destId="{B95C0E53-9AE8-40A5-B368-2DEEEE5E8D56}" srcOrd="8" destOrd="0" presId="urn:microsoft.com/office/officeart/2005/8/layout/list1"/>
    <dgm:cxn modelId="{4003DD42-28B3-4239-9C18-97281F2DB17F}" type="presParOf" srcId="{B95C0E53-9AE8-40A5-B368-2DEEEE5E8D56}" destId="{9EA5AC19-CD4A-4E74-BED9-5FB992137A36}" srcOrd="0" destOrd="0" presId="urn:microsoft.com/office/officeart/2005/8/layout/list1"/>
    <dgm:cxn modelId="{29FEC48D-2B0A-475C-930A-4D0454018C1C}" type="presParOf" srcId="{B95C0E53-9AE8-40A5-B368-2DEEEE5E8D56}" destId="{78B5CA81-1596-4534-8DC1-BB96F4C45765}" srcOrd="1" destOrd="0" presId="urn:microsoft.com/office/officeart/2005/8/layout/list1"/>
    <dgm:cxn modelId="{43C3FAFF-F0B8-43EE-A5E5-9187079C99B2}" type="presParOf" srcId="{BB66885D-9E21-4D44-B6D5-3C09BFDB9A24}" destId="{E489D6F6-0993-43A1-ABED-947891E731F1}" srcOrd="9" destOrd="0" presId="urn:microsoft.com/office/officeart/2005/8/layout/list1"/>
    <dgm:cxn modelId="{6C2858B4-3909-4971-AB07-CB7DB77BF616}" type="presParOf" srcId="{BB66885D-9E21-4D44-B6D5-3C09BFDB9A24}" destId="{04D7E972-9161-468D-A2FE-08CFD0FF0091}" srcOrd="10" destOrd="0" presId="urn:microsoft.com/office/officeart/2005/8/layout/list1"/>
    <dgm:cxn modelId="{8417A840-9B44-4985-BAA6-2A05124BB0CD}" type="presParOf" srcId="{BB66885D-9E21-4D44-B6D5-3C09BFDB9A24}" destId="{5F6DE9EF-FAE5-4D82-A79A-4A84E7616C4D}" srcOrd="11" destOrd="0" presId="urn:microsoft.com/office/officeart/2005/8/layout/list1"/>
    <dgm:cxn modelId="{0E595E4C-0AD7-4E17-8216-B02DB6D53822}" type="presParOf" srcId="{BB66885D-9E21-4D44-B6D5-3C09BFDB9A24}" destId="{0E0F6050-5277-4D21-89A6-C65A2DBABCF9}" srcOrd="12" destOrd="0" presId="urn:microsoft.com/office/officeart/2005/8/layout/list1"/>
    <dgm:cxn modelId="{4739C570-3657-4444-8AF4-298439996F9C}" type="presParOf" srcId="{0E0F6050-5277-4D21-89A6-C65A2DBABCF9}" destId="{782D1121-0FF4-45A3-ADE3-EE0D52B9EA9D}" srcOrd="0" destOrd="0" presId="urn:microsoft.com/office/officeart/2005/8/layout/list1"/>
    <dgm:cxn modelId="{BD0D8721-C2FB-4F30-978E-EF2737CC5C28}" type="presParOf" srcId="{0E0F6050-5277-4D21-89A6-C65A2DBABCF9}" destId="{CD7A0997-8B52-4C3A-BFC2-57506BF614CE}" srcOrd="1" destOrd="0" presId="urn:microsoft.com/office/officeart/2005/8/layout/list1"/>
    <dgm:cxn modelId="{F2FF9169-8866-4CE6-AD40-0148B86EE69D}" type="presParOf" srcId="{BB66885D-9E21-4D44-B6D5-3C09BFDB9A24}" destId="{1022A651-C1E1-4B57-A531-F3772482A3BC}" srcOrd="13" destOrd="0" presId="urn:microsoft.com/office/officeart/2005/8/layout/list1"/>
    <dgm:cxn modelId="{5F776BE1-27EF-4424-B7D7-69E0FE8498AB}" type="presParOf" srcId="{BB66885D-9E21-4D44-B6D5-3C09BFDB9A24}" destId="{322AD5BE-313F-47F0-8A76-2ABCAFF59631}" srcOrd="14" destOrd="0" presId="urn:microsoft.com/office/officeart/2005/8/layout/list1"/>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B01FAD6-FE53-4E16-9568-E3412634DEEC}">
      <dsp:nvSpPr>
        <dsp:cNvPr id="0" name=""/>
        <dsp:cNvSpPr/>
      </dsp:nvSpPr>
      <dsp:spPr>
        <a:xfrm>
          <a:off x="0" y="0"/>
          <a:ext cx="2528684" cy="1009650"/>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pPr>
          <a:r>
            <a:rPr lang="en-US" sz="1200" b="1" kern="1200">
              <a:solidFill>
                <a:sysClr val="windowText" lastClr="000000"/>
              </a:solidFill>
              <a:latin typeface="Times New Roman" pitchFamily="18" charset="0"/>
              <a:cs typeface="Times New Roman" pitchFamily="18" charset="0"/>
            </a:rPr>
            <a:t>1 julio 2015- Aumento IVU al 11.5%</a:t>
          </a:r>
        </a:p>
        <a:p>
          <a:pPr marL="57150" lvl="1" indent="-57150" algn="l" defTabSz="444500">
            <a:lnSpc>
              <a:spcPct val="90000"/>
            </a:lnSpc>
            <a:spcBef>
              <a:spcPct val="0"/>
            </a:spcBef>
            <a:spcAft>
              <a:spcPct val="15000"/>
            </a:spcAft>
            <a:buChar char="••"/>
          </a:pPr>
          <a:r>
            <a:rPr lang="en-US" sz="1000" kern="1200">
              <a:solidFill>
                <a:sysClr val="windowText" lastClr="000000"/>
              </a:solidFill>
              <a:latin typeface="Times New Roman" pitchFamily="18" charset="0"/>
              <a:cs typeface="Times New Roman" pitchFamily="18" charset="0"/>
            </a:rPr>
            <a:t>Partidas tributables, incluyendo propiedad mueble tangible (bienes) y servicios Tributables.</a:t>
          </a:r>
        </a:p>
        <a:p>
          <a:pPr marL="57150" lvl="1" indent="-57150" algn="l" defTabSz="444500">
            <a:lnSpc>
              <a:spcPct val="90000"/>
            </a:lnSpc>
            <a:spcBef>
              <a:spcPct val="0"/>
            </a:spcBef>
            <a:spcAft>
              <a:spcPct val="15000"/>
            </a:spcAft>
            <a:buChar char="••"/>
          </a:pPr>
          <a:r>
            <a:rPr lang="en-US" sz="1000" kern="1200">
              <a:solidFill>
                <a:sysClr val="windowText" lastClr="000000"/>
              </a:solidFill>
              <a:latin typeface="Times New Roman" pitchFamily="18" charset="0"/>
              <a:cs typeface="Times New Roman" pitchFamily="18" charset="0"/>
            </a:rPr>
            <a:t>Obligación de radicación electrónica en PICO para todos los comerciantes.</a:t>
          </a:r>
        </a:p>
      </dsp:txBody>
      <dsp:txXfrm>
        <a:off x="0" y="0"/>
        <a:ext cx="2528684" cy="1009650"/>
      </dsp:txXfrm>
    </dsp:sp>
    <dsp:sp modelId="{417588F4-DD57-48DC-9F3C-C9539B6AF574}">
      <dsp:nvSpPr>
        <dsp:cNvPr id="0" name=""/>
        <dsp:cNvSpPr/>
      </dsp:nvSpPr>
      <dsp:spPr>
        <a:xfrm>
          <a:off x="2747834" y="236405"/>
          <a:ext cx="464599" cy="536838"/>
        </a:xfrm>
        <a:prstGeom prst="rightArrow">
          <a:avLst>
            <a:gd name="adj1" fmla="val 60000"/>
            <a:gd name="adj2" fmla="val 50000"/>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l" defTabSz="1022350">
            <a:lnSpc>
              <a:spcPct val="90000"/>
            </a:lnSpc>
            <a:spcBef>
              <a:spcPct val="0"/>
            </a:spcBef>
            <a:spcAft>
              <a:spcPct val="35000"/>
            </a:spcAft>
          </a:pPr>
          <a:endParaRPr lang="en-US" sz="2300" kern="1200"/>
        </a:p>
      </dsp:txBody>
      <dsp:txXfrm>
        <a:off x="2747834" y="236405"/>
        <a:ext cx="464599" cy="536838"/>
      </dsp:txXfrm>
    </dsp:sp>
    <dsp:sp modelId="{D7AA93CD-E3CB-42C3-8EA8-B77A49A8A6EF}">
      <dsp:nvSpPr>
        <dsp:cNvPr id="0" name=""/>
        <dsp:cNvSpPr/>
      </dsp:nvSpPr>
      <dsp:spPr>
        <a:xfrm>
          <a:off x="3405287" y="0"/>
          <a:ext cx="2624037" cy="1009650"/>
        </a:xfrm>
        <a:prstGeom prst="roundRect">
          <a:avLst>
            <a:gd name="adj" fmla="val 10000"/>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pPr>
          <a:r>
            <a:rPr lang="en-US" sz="1200" b="1" kern="1200">
              <a:solidFill>
                <a:sysClr val="windowText" lastClr="000000"/>
              </a:solidFill>
              <a:latin typeface="Times New Roman" pitchFamily="18" charset="0"/>
              <a:cs typeface="Times New Roman" pitchFamily="18" charset="0"/>
            </a:rPr>
            <a:t>1 octubre 2015- IVU al 4%</a:t>
          </a:r>
        </a:p>
        <a:p>
          <a:pPr marL="57150" lvl="1" indent="-57150" algn="l" defTabSz="444500">
            <a:lnSpc>
              <a:spcPct val="90000"/>
            </a:lnSpc>
            <a:spcBef>
              <a:spcPct val="0"/>
            </a:spcBef>
            <a:spcAft>
              <a:spcPct val="15000"/>
            </a:spcAft>
            <a:buChar char="••"/>
          </a:pPr>
          <a:r>
            <a:rPr lang="en-US" sz="1000" kern="1200">
              <a:solidFill>
                <a:sysClr val="windowText" lastClr="000000"/>
              </a:solidFill>
              <a:latin typeface="Times New Roman" pitchFamily="18" charset="0"/>
              <a:cs typeface="Times New Roman" pitchFamily="18" charset="0"/>
            </a:rPr>
            <a:t>Servicios entre Comerciantes</a:t>
          </a:r>
        </a:p>
        <a:p>
          <a:pPr marL="57150" lvl="1" indent="-57150" algn="l" defTabSz="444500">
            <a:lnSpc>
              <a:spcPct val="90000"/>
            </a:lnSpc>
            <a:spcBef>
              <a:spcPct val="0"/>
            </a:spcBef>
            <a:spcAft>
              <a:spcPct val="15000"/>
            </a:spcAft>
            <a:buChar char="••"/>
          </a:pPr>
          <a:r>
            <a:rPr lang="en-US" sz="1000" kern="1200">
              <a:solidFill>
                <a:sysClr val="windowText" lastClr="000000"/>
              </a:solidFill>
              <a:latin typeface="Times New Roman" pitchFamily="18" charset="0"/>
              <a:cs typeface="Times New Roman" pitchFamily="18" charset="0"/>
            </a:rPr>
            <a:t>Servicios Profesionales Designados</a:t>
          </a:r>
        </a:p>
      </dsp:txBody>
      <dsp:txXfrm>
        <a:off x="3405287" y="0"/>
        <a:ext cx="2624037" cy="100965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E82564D-90A1-4B2D-8D0C-49B06A4BDCE4}">
      <dsp:nvSpPr>
        <dsp:cNvPr id="0" name=""/>
        <dsp:cNvSpPr/>
      </dsp:nvSpPr>
      <dsp:spPr>
        <a:xfrm>
          <a:off x="0" y="272400"/>
          <a:ext cx="5391150" cy="403200"/>
        </a:xfrm>
        <a:prstGeom prst="rect">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F84CD28B-0C73-48F9-B0C0-AC63EBC4E8F9}">
      <dsp:nvSpPr>
        <dsp:cNvPr id="0" name=""/>
        <dsp:cNvSpPr/>
      </dsp:nvSpPr>
      <dsp:spPr>
        <a:xfrm>
          <a:off x="269557" y="36240"/>
          <a:ext cx="3773805" cy="472320"/>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42641" tIns="0" rIns="142641" bIns="0" numCol="1" spcCol="1270" anchor="ctr" anchorCtr="0">
          <a:noAutofit/>
        </a:bodyPr>
        <a:lstStyle/>
        <a:p>
          <a:pPr lvl="0" algn="l" defTabSz="444500">
            <a:lnSpc>
              <a:spcPct val="90000"/>
            </a:lnSpc>
            <a:spcBef>
              <a:spcPct val="0"/>
            </a:spcBef>
            <a:spcAft>
              <a:spcPct val="35000"/>
            </a:spcAft>
          </a:pPr>
          <a:r>
            <a:rPr lang="en-US" sz="1000" kern="1200">
              <a:solidFill>
                <a:sysClr val="windowText" lastClr="000000"/>
              </a:solidFill>
              <a:latin typeface="Times New Roman" pitchFamily="18" charset="0"/>
              <a:cs typeface="Times New Roman" pitchFamily="18" charset="0"/>
            </a:rPr>
            <a:t>La tasa del IVU continuará vigente al 11.5% sobre bienes y servicios que tributan al 7%.</a:t>
          </a:r>
        </a:p>
      </dsp:txBody>
      <dsp:txXfrm>
        <a:off x="269557" y="36240"/>
        <a:ext cx="3773805" cy="472320"/>
      </dsp:txXfrm>
    </dsp:sp>
    <dsp:sp modelId="{E8CAA419-5767-487B-8E96-4E068890C87E}">
      <dsp:nvSpPr>
        <dsp:cNvPr id="0" name=""/>
        <dsp:cNvSpPr/>
      </dsp:nvSpPr>
      <dsp:spPr>
        <a:xfrm>
          <a:off x="0" y="1052264"/>
          <a:ext cx="5391150" cy="403200"/>
        </a:xfrm>
        <a:prstGeom prst="rect">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B979A184-D43D-4CF9-ABF3-4886CB9E5165}">
      <dsp:nvSpPr>
        <dsp:cNvPr id="0" name=""/>
        <dsp:cNvSpPr/>
      </dsp:nvSpPr>
      <dsp:spPr>
        <a:xfrm>
          <a:off x="269557" y="762000"/>
          <a:ext cx="3773805" cy="526424"/>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42641" tIns="0" rIns="142641" bIns="0" numCol="1" spcCol="1270" anchor="ctr" anchorCtr="0">
          <a:noAutofit/>
        </a:bodyPr>
        <a:lstStyle/>
        <a:p>
          <a:pPr lvl="0" algn="l" defTabSz="444500">
            <a:lnSpc>
              <a:spcPct val="90000"/>
            </a:lnSpc>
            <a:spcBef>
              <a:spcPct val="0"/>
            </a:spcBef>
            <a:spcAft>
              <a:spcPct val="35000"/>
            </a:spcAft>
          </a:pPr>
          <a:r>
            <a:rPr lang="en-US" sz="1000" kern="1200">
              <a:solidFill>
                <a:sysClr val="windowText" lastClr="000000"/>
              </a:solidFill>
              <a:latin typeface="Times New Roman" pitchFamily="18" charset="0"/>
              <a:cs typeface="Times New Roman" pitchFamily="18" charset="0"/>
            </a:rPr>
            <a:t>Los servicios tributales provistos por una persona no residente de Puerto Rico seran tributables al 11.5 y el IVU debera ser remitido al Departamento de Hacienda por la persona que recibe el servicio en Puerto Rico.</a:t>
          </a:r>
        </a:p>
      </dsp:txBody>
      <dsp:txXfrm>
        <a:off x="269557" y="762000"/>
        <a:ext cx="3773805" cy="526424"/>
      </dsp:txXfrm>
    </dsp:sp>
    <dsp:sp modelId="{04D7E972-9161-468D-A2FE-08CFD0FF0091}">
      <dsp:nvSpPr>
        <dsp:cNvPr id="0" name=""/>
        <dsp:cNvSpPr/>
      </dsp:nvSpPr>
      <dsp:spPr>
        <a:xfrm>
          <a:off x="0" y="1778024"/>
          <a:ext cx="5391150" cy="403200"/>
        </a:xfrm>
        <a:prstGeom prst="rect">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78B5CA81-1596-4534-8DC1-BB96F4C45765}">
      <dsp:nvSpPr>
        <dsp:cNvPr id="0" name=""/>
        <dsp:cNvSpPr/>
      </dsp:nvSpPr>
      <dsp:spPr>
        <a:xfrm>
          <a:off x="269557" y="1541864"/>
          <a:ext cx="3773805" cy="472320"/>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42641" tIns="0" rIns="142641" bIns="0" numCol="1" spcCol="1270" anchor="ctr" anchorCtr="0">
          <a:noAutofit/>
        </a:bodyPr>
        <a:lstStyle/>
        <a:p>
          <a:pPr lvl="0" algn="l" defTabSz="444500">
            <a:lnSpc>
              <a:spcPct val="90000"/>
            </a:lnSpc>
            <a:spcBef>
              <a:spcPct val="0"/>
            </a:spcBef>
            <a:spcAft>
              <a:spcPct val="35000"/>
            </a:spcAft>
          </a:pPr>
          <a:r>
            <a:rPr lang="en-US" sz="1000" kern="1200">
              <a:solidFill>
                <a:sysClr val="windowText" lastClr="000000"/>
              </a:solidFill>
              <a:latin typeface="Times New Roman" pitchFamily="18" charset="0"/>
              <a:cs typeface="Times New Roman" pitchFamily="18" charset="0"/>
            </a:rPr>
            <a:t>Los servicios entre comerciantes previamente exentos de IVU estarán sujetos al IVU  a una tasa de 4%.</a:t>
          </a:r>
        </a:p>
      </dsp:txBody>
      <dsp:txXfrm>
        <a:off x="269557" y="1541864"/>
        <a:ext cx="3773805" cy="472320"/>
      </dsp:txXfrm>
    </dsp:sp>
    <dsp:sp modelId="{322AD5BE-313F-47F0-8A76-2ABCAFF59631}">
      <dsp:nvSpPr>
        <dsp:cNvPr id="0" name=""/>
        <dsp:cNvSpPr/>
      </dsp:nvSpPr>
      <dsp:spPr>
        <a:xfrm>
          <a:off x="0" y="2503784"/>
          <a:ext cx="5391150" cy="403200"/>
        </a:xfrm>
        <a:prstGeom prst="rect">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CD7A0997-8B52-4C3A-BFC2-57506BF614CE}">
      <dsp:nvSpPr>
        <dsp:cNvPr id="0" name=""/>
        <dsp:cNvSpPr/>
      </dsp:nvSpPr>
      <dsp:spPr>
        <a:xfrm>
          <a:off x="269557" y="2267624"/>
          <a:ext cx="3773805" cy="472320"/>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42641" tIns="0" rIns="142641" bIns="0" numCol="1" spcCol="1270" anchor="ctr" anchorCtr="0">
          <a:noAutofit/>
        </a:bodyPr>
        <a:lstStyle/>
        <a:p>
          <a:pPr lvl="0" algn="l" defTabSz="444500">
            <a:lnSpc>
              <a:spcPct val="90000"/>
            </a:lnSpc>
            <a:spcBef>
              <a:spcPct val="0"/>
            </a:spcBef>
            <a:spcAft>
              <a:spcPct val="35000"/>
            </a:spcAft>
          </a:pPr>
          <a:r>
            <a:rPr lang="en-US" sz="1000" kern="1200">
              <a:solidFill>
                <a:sysClr val="windowText" lastClr="000000"/>
              </a:solidFill>
              <a:latin typeface="Times New Roman" pitchFamily="18" charset="0"/>
              <a:cs typeface="Times New Roman" pitchFamily="18" charset="0"/>
            </a:rPr>
            <a:t>Los servicios profesionales designados previamente exentos de IVU estarán sujetos al IVU  a una tasa del 4%.</a:t>
          </a:r>
        </a:p>
      </dsp:txBody>
      <dsp:txXfrm>
        <a:off x="269557" y="2267624"/>
        <a:ext cx="3773805" cy="47232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gociado xmlns="5f0ae432-0749-408f-8ead-50bf53da4852">157</Negociado>
    <Area xmlns="5f0ae432-0749-408f-8ead-50bf53da4852">2</Area>
    <Classification xmlns="5f0ae432-0749-408f-8ead-50bf53da4852">10</Classification>
  </documentManagement>
</p:properties>
</file>

<file path=customXml/itemProps1.xml><?xml version="1.0" encoding="utf-8"?>
<ds:datastoreItem xmlns:ds="http://schemas.openxmlformats.org/officeDocument/2006/customXml" ds:itemID="{3C09BF7F-4F3C-4290-844B-83987370BECE}"/>
</file>

<file path=customXml/itemProps2.xml><?xml version="1.0" encoding="utf-8"?>
<ds:datastoreItem xmlns:ds="http://schemas.openxmlformats.org/officeDocument/2006/customXml" ds:itemID="{280546D2-0499-4A62-9111-574BAEA17F97}"/>
</file>

<file path=customXml/itemProps3.xml><?xml version="1.0" encoding="utf-8"?>
<ds:datastoreItem xmlns:ds="http://schemas.openxmlformats.org/officeDocument/2006/customXml" ds:itemID="{3810C88C-7892-4903-9FDB-2A3B9CB90832}"/>
</file>

<file path=customXml/itemProps4.xml><?xml version="1.0" encoding="utf-8"?>
<ds:datastoreItem xmlns:ds="http://schemas.openxmlformats.org/officeDocument/2006/customXml" ds:itemID="{4234CAC1-7A2E-46B6-A713-D81D397634BF}"/>
</file>

<file path=docProps/app.xml><?xml version="1.0" encoding="utf-8"?>
<Properties xmlns="http://schemas.openxmlformats.org/officeDocument/2006/extended-properties" xmlns:vt="http://schemas.openxmlformats.org/officeDocument/2006/docPropsVTypes">
  <Template>Normal.dotm</Template>
  <TotalTime>126</TotalTime>
  <Pages>11</Pages>
  <Words>3418</Words>
  <Characters>19487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Cambios en el Impuesto sobre Ventas y Uso </vt:lpstr>
    </vt:vector>
  </TitlesOfParts>
  <Company>Area de Rentas Internas</Company>
  <LinksUpToDate>false</LinksUpToDate>
  <CharactersWithSpaces>22860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Cambios en el Impuesto sobre Ventas y Uso</dc:title>
  <dc:subject>Referido</dc:subject>
  <dc:creator>Amilcar Canales Domenech</dc:creator>
  <cp:keywords>NIC</cp:keywords>
  <cp:lastModifiedBy>acd4631</cp:lastModifiedBy>
  <cp:revision>23</cp:revision>
  <cp:lastPrinted>2015-06-25T20:07:00Z</cp:lastPrinted>
  <dcterms:created xsi:type="dcterms:W3CDTF">2015-06-24T14:02:00Z</dcterms:created>
  <dcterms:modified xsi:type="dcterms:W3CDTF">2015-08-19T15:10:00Z</dcterms:modified>
  <cp:category>Negociado de Impuesto al Consumo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