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1E6981" w:rsidTr="003F589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1E6981" w:rsidRDefault="003E217C" w:rsidP="003F5892">
            <w:pPr>
              <w:pStyle w:val="NormalWeb"/>
              <w:spacing w:after="0" w:afterAutospacing="0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2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1E6981" w:rsidRDefault="003E217C" w:rsidP="003F5892">
            <w:pPr>
              <w:spacing w:before="100" w:beforeAutospacing="1"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sobre el s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6215B3" w:rsidRDefault="006215B3" w:rsidP="003E217C">
      <w:pPr>
        <w:pStyle w:val="Heading1"/>
        <w:numPr>
          <w:ilvl w:val="0"/>
          <w:numId w:val="23"/>
        </w:numPr>
        <w:spacing w:before="12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215B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Instrumento para asegurar el cobro de una deuda contributiva, cuando el contribuyente ha incumplido con los términos concedidos para el pago de la misma.  </w:t>
      </w:r>
    </w:p>
    <w:p w:rsidR="003E217C" w:rsidRPr="006215B3" w:rsidRDefault="003E217C" w:rsidP="00AD1692">
      <w:pPr>
        <w:pStyle w:val="Heading1"/>
        <w:numPr>
          <w:ilvl w:val="0"/>
          <w:numId w:val="23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215B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Proveer de forma organizada los records y la información sobre las gestiones de cobro realizadas a fin de tener una fuente confiable para los métodos de seguimiento a usarse y los informes periódicos a rendirse. </w:t>
      </w:r>
    </w:p>
    <w:tbl>
      <w:tblPr>
        <w:tblW w:w="102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75"/>
      </w:tblGrid>
      <w:tr w:rsidR="003E217C" w:rsidRPr="00BA0BB5" w:rsidTr="003F5892">
        <w:trPr>
          <w:trHeight w:val="446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BA0BB5" w:rsidRDefault="003E217C" w:rsidP="003F5892">
            <w:pPr>
              <w:pStyle w:val="NormalWeb"/>
              <w:spacing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5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732DAC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Clasificación del contribuyente</w:t>
            </w:r>
          </w:p>
        </w:tc>
      </w:tr>
    </w:tbl>
    <w:p w:rsidR="003E217C" w:rsidRDefault="003E217C" w:rsidP="00AD1692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 w:rsidRPr="00BA0BB5">
        <w:rPr>
          <w:rFonts w:ascii="Times New Roman" w:eastAsia="Times New Roman" w:hAnsi="Times New Roman"/>
          <w:sz w:val="24"/>
          <w:szCs w:val="24"/>
          <w:lang w:val="es-ES"/>
        </w:rPr>
        <w:t>Individuos</w:t>
      </w:r>
    </w:p>
    <w:p w:rsidR="00173FEA" w:rsidRPr="00BA0BB5" w:rsidRDefault="00173FEA" w:rsidP="00AD1692">
      <w:pPr>
        <w:pStyle w:val="ListParagraph"/>
        <w:numPr>
          <w:ilvl w:val="0"/>
          <w:numId w:val="1"/>
        </w:numPr>
        <w:spacing w:before="120" w:after="120" w:line="240" w:lineRule="auto"/>
        <w:ind w:right="-230"/>
        <w:rPr>
          <w:rFonts w:ascii="Times New Roman" w:eastAsia="Times New Roman" w:hAnsi="Times New Roman"/>
          <w:sz w:val="24"/>
          <w:szCs w:val="24"/>
          <w:lang w:val="es-ES"/>
        </w:rPr>
      </w:pPr>
      <w:r>
        <w:rPr>
          <w:rFonts w:ascii="Times New Roman" w:eastAsia="Times New Roman" w:hAnsi="Times New Roman"/>
          <w:sz w:val="24"/>
          <w:szCs w:val="24"/>
          <w:lang w:val="es-ES"/>
        </w:rPr>
        <w:t>Entidades (Corporaciones – D/B/A</w:t>
      </w:r>
      <w:r w:rsidR="004A0999">
        <w:rPr>
          <w:rFonts w:ascii="Times New Roman" w:eastAsia="Times New Roman" w:hAnsi="Times New Roman"/>
          <w:sz w:val="24"/>
          <w:szCs w:val="24"/>
          <w:lang w:val="es-ES"/>
        </w:rPr>
        <w:t>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62"/>
      </w:tblGrid>
      <w:tr w:rsidR="003E217C" w:rsidRPr="008271EA" w:rsidTr="003F5892">
        <w:trPr>
          <w:trHeight w:val="20"/>
        </w:trPr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BA0BB5" w:rsidRDefault="003E217C" w:rsidP="003F5892">
            <w:pPr>
              <w:pStyle w:val="NormalWeb"/>
              <w:spacing w:before="120" w:beforeAutospacing="0" w:after="0" w:afterAutospacing="0"/>
              <w:rPr>
                <w:lang w:val="es-PR"/>
              </w:rPr>
            </w:pPr>
            <w:r w:rsidRPr="00BA0BB5">
              <w:rPr>
                <w:noProof/>
              </w:rPr>
              <w:drawing>
                <wp:inline distT="0" distB="0" distL="0" distR="0">
                  <wp:extent cx="248771" cy="228600"/>
                  <wp:effectExtent l="19050" t="0" r="0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71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732DAC" w:rsidRDefault="003E217C" w:rsidP="003F5892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32DA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3E217C" w:rsidRDefault="006F4F4C" w:rsidP="006F4F4C">
      <w:pPr>
        <w:pStyle w:val="Heading1"/>
        <w:spacing w:before="120" w:after="1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Selección de Casos para Embargo</w:t>
      </w:r>
    </w:p>
    <w:p w:rsidR="00A32D07" w:rsidRDefault="00A32D07" w:rsidP="00A32D07">
      <w:pPr>
        <w:pStyle w:val="Heading1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Si no respondió Notificaciones de Deuda (Avisos electrónicos).</w:t>
      </w:r>
    </w:p>
    <w:p w:rsidR="00A32D07" w:rsidRDefault="00A32D07" w:rsidP="00A32D07">
      <w:pPr>
        <w:pStyle w:val="Heading1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Si incumplió un plan de pago.</w:t>
      </w:r>
    </w:p>
    <w:p w:rsidR="00A32D07" w:rsidRDefault="00A32D07" w:rsidP="00A32D07">
      <w:pPr>
        <w:pStyle w:val="Heading1"/>
        <w:numPr>
          <w:ilvl w:val="0"/>
          <w:numId w:val="25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Luego de notificado el embargo, el contribuyente tiene 30 días para que se evalúe caso nuevamente.</w:t>
      </w:r>
    </w:p>
    <w:p w:rsidR="006F4F4C" w:rsidRPr="004A0999" w:rsidRDefault="006F4F4C" w:rsidP="006F4F4C">
      <w:pPr>
        <w:pStyle w:val="Heading1"/>
        <w:numPr>
          <w:ilvl w:val="0"/>
          <w:numId w:val="1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4A0999">
        <w:rPr>
          <w:rFonts w:ascii="Times New Roman" w:hAnsi="Times New Roman" w:cs="Times New Roman"/>
          <w:b w:val="0"/>
          <w:sz w:val="24"/>
          <w:szCs w:val="24"/>
          <w:lang w:val="es-ES"/>
        </w:rPr>
        <w:t>Fuente de Información</w:t>
      </w:r>
    </w:p>
    <w:p w:rsidR="006F4F4C" w:rsidRDefault="006F4F4C" w:rsidP="006F4F4C">
      <w:pPr>
        <w:pStyle w:val="Heading1"/>
        <w:numPr>
          <w:ilvl w:val="0"/>
          <w:numId w:val="24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4F4C">
        <w:rPr>
          <w:rFonts w:ascii="Times New Roman" w:hAnsi="Times New Roman" w:cs="Times New Roman"/>
          <w:b w:val="0"/>
          <w:sz w:val="24"/>
          <w:szCs w:val="24"/>
          <w:lang w:val="es-ES"/>
        </w:rPr>
        <w:t>Planes de Pago con 2 ó más plazos atrasados.</w:t>
      </w:r>
    </w:p>
    <w:p w:rsidR="006F4F4C" w:rsidRDefault="006F4F4C" w:rsidP="006F4F4C">
      <w:pPr>
        <w:pStyle w:val="Heading1"/>
        <w:numPr>
          <w:ilvl w:val="0"/>
          <w:numId w:val="24"/>
        </w:numPr>
        <w:spacing w:before="120" w:after="12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Lista de deudas contributivas que es suministrado por PRITAS y que es solicitado dos veces al año.</w:t>
      </w: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DB2582">
        <w:rPr>
          <w:rFonts w:ascii="Times New Roman" w:hAnsi="Times New Roman" w:cs="Times New Roman"/>
          <w:sz w:val="24"/>
          <w:szCs w:val="24"/>
          <w:lang w:val="es-ES"/>
        </w:rPr>
        <w:t>nici</w:t>
      </w:r>
      <w:r w:rsidR="00007E13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rocedimientos de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DB2582">
        <w:rPr>
          <w:rFonts w:ascii="Times New Roman" w:hAnsi="Times New Roman" w:cs="Times New Roman"/>
          <w:sz w:val="24"/>
          <w:szCs w:val="24"/>
          <w:lang w:val="es-ES"/>
        </w:rPr>
        <w:t xml:space="preserve">mbargo </w:t>
      </w:r>
    </w:p>
    <w:p w:rsidR="003E217C" w:rsidRDefault="00007E13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inicia el p</w:t>
      </w:r>
      <w:r w:rsidR="003E217C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roceso de embargo </w:t>
      </w:r>
      <w:r w:rsidR="009B744E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toda vez que el contribuyente haya recibido las tres Notificaciones de Deuda y el Aviso de embargo, </w:t>
      </w:r>
      <w:r w:rsidR="003E217C">
        <w:rPr>
          <w:rFonts w:ascii="Times New Roman" w:hAnsi="Times New Roman" w:cs="Times New Roman"/>
          <w:b w:val="0"/>
          <w:sz w:val="24"/>
          <w:szCs w:val="24"/>
          <w:lang w:val="es-ES"/>
        </w:rPr>
        <w:t>de acuerdo con los procedim</w:t>
      </w:r>
      <w:r w:rsidR="009B744E">
        <w:rPr>
          <w:rFonts w:ascii="Times New Roman" w:hAnsi="Times New Roman" w:cs="Times New Roman"/>
          <w:b w:val="0"/>
          <w:sz w:val="24"/>
          <w:szCs w:val="24"/>
          <w:lang w:val="es-ES"/>
        </w:rPr>
        <w:t>ientos administrativos.</w:t>
      </w:r>
    </w:p>
    <w:p w:rsidR="003E217C" w:rsidRPr="00631C7A" w:rsidRDefault="003E217C" w:rsidP="003E217C">
      <w:pPr>
        <w:pStyle w:val="Heading1"/>
        <w:spacing w:before="0" w:after="0"/>
        <w:ind w:left="1440"/>
        <w:rPr>
          <w:rFonts w:ascii="Times New Roman" w:hAnsi="Times New Roman" w:cs="Times New Roman"/>
          <w:b w:val="0"/>
          <w:sz w:val="24"/>
          <w:szCs w:val="24"/>
          <w:lang w:val="es-ES"/>
        </w:rPr>
      </w:pPr>
    </w:p>
    <w:p w:rsidR="003E217C" w:rsidRPr="00631C7A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631C7A">
        <w:rPr>
          <w:rFonts w:ascii="Times New Roman" w:hAnsi="Times New Roman" w:cs="Times New Roman"/>
          <w:sz w:val="24"/>
          <w:szCs w:val="24"/>
          <w:lang w:val="es-ES"/>
        </w:rPr>
        <w:t>Notificaciones de Deuda</w:t>
      </w: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Estas comunicaciones se procesan en el sistema </w:t>
      </w:r>
      <w:r w:rsidRPr="00DB2582">
        <w:rPr>
          <w:rFonts w:ascii="Times New Roman" w:hAnsi="Times New Roman" w:cs="Times New Roman"/>
          <w:b w:val="0"/>
          <w:sz w:val="24"/>
          <w:szCs w:val="24"/>
          <w:lang w:val="es-ES"/>
        </w:rPr>
        <w:t>PRITAS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, cambiando la acción del caso en la conversación </w:t>
      </w:r>
      <w:r w:rsidRPr="00064D8A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: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>Primera Notificación de Deuda</w:t>
      </w:r>
      <w:r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- </w:t>
      </w:r>
      <w:r w:rsidRPr="006F5253">
        <w:rPr>
          <w:rFonts w:ascii="Times New Roman" w:hAnsi="Times New Roman" w:cs="Times New Roman"/>
          <w:sz w:val="24"/>
          <w:szCs w:val="24"/>
          <w:lang w:val="es-ES"/>
        </w:rPr>
        <w:t>Acción 251</w:t>
      </w:r>
      <w:r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–</w:t>
      </w:r>
      <w:r w:rsidRPr="006F5253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espera que el contribuyente cumpla con el pago de la deuda. 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 xml:space="preserve">Segunda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Notificación de Deuda -Acción 255 –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envía si luego de transcurridos treinta (30) días de haber enviado la primera notificación el contribuyente hace caso omiso a la gestión de cobro.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Tercera</w:t>
      </w:r>
      <w:r w:rsidRPr="006F525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Notificación de Deuda -Acción 257 –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Se envía si luego de transcurridos treinta (30) días de haber enviado la segunda notificación el contribuyente hace caso omiso a la gestión de cobro.</w:t>
      </w:r>
    </w:p>
    <w:p w:rsidR="003E217C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6F5253">
        <w:rPr>
          <w:rFonts w:ascii="Times New Roman" w:hAnsi="Times New Roman" w:cs="Times New Roman"/>
          <w:sz w:val="24"/>
          <w:szCs w:val="24"/>
          <w:lang w:val="es-ES"/>
        </w:rPr>
        <w:t>Aviso de Embargo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– Acción 263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- Informa que la cuenta de banco está </w:t>
      </w:r>
      <w:r w:rsidR="004A0999">
        <w:rPr>
          <w:rFonts w:ascii="Times New Roman" w:hAnsi="Times New Roman" w:cs="Times New Roman"/>
          <w:b w:val="0"/>
          <w:sz w:val="24"/>
          <w:szCs w:val="24"/>
          <w:lang w:val="es-ES"/>
        </w:rPr>
        <w:t>próxima a ser embargada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. Se envía si luego de transcurridos treinta (30) días de haber enviado la tercera notificación el contribuyente hace caso omiso a la gestión de cobro. </w:t>
      </w:r>
    </w:p>
    <w:p w:rsidR="004A0999" w:rsidRDefault="003E217C" w:rsidP="003E217C">
      <w:pPr>
        <w:pStyle w:val="Heading1"/>
        <w:numPr>
          <w:ilvl w:val="0"/>
          <w:numId w:val="13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Embargo a la Cuenta de Banco- Acción 264</w:t>
      </w:r>
    </w:p>
    <w:p w:rsidR="004A0999" w:rsidRDefault="004A0999" w:rsidP="004A0999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3E217C" w:rsidRPr="004A0999" w:rsidRDefault="003E217C" w:rsidP="004A0999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4A0999">
        <w:rPr>
          <w:rFonts w:ascii="Times New Roman" w:hAnsi="Times New Roman" w:cs="Times New Roman"/>
          <w:sz w:val="24"/>
          <w:szCs w:val="24"/>
          <w:lang w:val="es-ES"/>
        </w:rPr>
        <w:t xml:space="preserve">¿Qué es un embargo? </w:t>
      </w:r>
    </w:p>
    <w:p w:rsidR="004A0999" w:rsidRPr="004A0999" w:rsidRDefault="004A0999" w:rsidP="004A0999">
      <w:pPr>
        <w:spacing w:after="150" w:line="315" w:lineRule="atLeast"/>
        <w:rPr>
          <w:rFonts w:ascii="Times New Roman" w:eastAsia="Times New Roman" w:hAnsi="Times New Roman"/>
          <w:sz w:val="24"/>
          <w:szCs w:val="24"/>
          <w:lang w:val="es-ES"/>
        </w:rPr>
      </w:pPr>
      <w:r w:rsidRPr="004A0999">
        <w:rPr>
          <w:rFonts w:ascii="Times New Roman" w:eastAsia="Times New Roman" w:hAnsi="Times New Roman"/>
          <w:sz w:val="24"/>
          <w:szCs w:val="24"/>
          <w:lang w:val="es-ES"/>
        </w:rPr>
        <w:t>Un embargo de bienes muebles e inmuebles es un instrumento para asegurar el cobro de una deuda contributiva, cuando el contribuyente ha incumplido con los términos concedidos para el pago de la misma.</w:t>
      </w:r>
      <w:r>
        <w:rPr>
          <w:rFonts w:ascii="Times New Roman" w:eastAsia="Times New Roman" w:hAnsi="Times New Roman"/>
          <w:sz w:val="24"/>
          <w:szCs w:val="24"/>
          <w:lang w:val="es-ES"/>
        </w:rPr>
        <w:t xml:space="preserve">  En este caso el embargo electrónico es un embargo de bien inmueble.</w:t>
      </w: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</w:p>
    <w:p w:rsidR="003E217C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Proceso de Cobro Bajo la </w:t>
      </w:r>
      <w:r w:rsidRPr="00CB2AA4">
        <w:rPr>
          <w:rFonts w:ascii="Times New Roman" w:hAnsi="Times New Roman" w:cs="Times New Roman"/>
          <w:sz w:val="24"/>
          <w:szCs w:val="24"/>
          <w:lang w:val="es-ES"/>
        </w:rPr>
        <w:t>Ley de Quiebra</w:t>
      </w:r>
    </w:p>
    <w:p w:rsidR="005A0BB7" w:rsidRDefault="005A0BB7" w:rsidP="005A0BB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En el proceso de la gestión de cobro se encuentran casos que están bajo la Ley de Quiebra.</w:t>
      </w:r>
    </w:p>
    <w:p w:rsidR="005A0BB7" w:rsidRDefault="004A0999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>E</w:t>
      </w:r>
      <w:r w:rsidR="003E217C">
        <w:rPr>
          <w:rFonts w:ascii="Times New Roman" w:hAnsi="Times New Roman" w:cs="Times New Roman"/>
          <w:b w:val="0"/>
          <w:sz w:val="24"/>
          <w:szCs w:val="24"/>
          <w:lang w:val="es-ES"/>
        </w:rPr>
        <w:t>stos casos se transfieren al Área de Quiebras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toda vez que tengan el indicador de quiebra en el Sistema PRITAS y se haya confirmado con </w:t>
      </w:r>
      <w:r w:rsidR="005A0BB7">
        <w:rPr>
          <w:rFonts w:ascii="Times New Roman" w:hAnsi="Times New Roman" w:cs="Times New Roman"/>
          <w:b w:val="0"/>
          <w:sz w:val="24"/>
          <w:szCs w:val="24"/>
          <w:lang w:val="es-ES"/>
        </w:rPr>
        <w:t>dicha oficina.</w:t>
      </w:r>
    </w:p>
    <w:p w:rsidR="003E217C" w:rsidRDefault="004A0999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</w:t>
      </w:r>
    </w:p>
    <w:p w:rsidR="003E217C" w:rsidRPr="00D607AD" w:rsidRDefault="003E217C" w:rsidP="003E217C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Consulta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Pr="00D607AD">
        <w:rPr>
          <w:rFonts w:ascii="Times New Roman" w:hAnsi="Times New Roman" w:cs="Times New Roman"/>
          <w:sz w:val="24"/>
          <w:szCs w:val="24"/>
          <w:lang w:val="es-ES"/>
        </w:rPr>
        <w:t xml:space="preserve">Actualización de Datos Biográficos </w:t>
      </w:r>
    </w:p>
    <w:p w:rsidR="003E217C" w:rsidRPr="00D607AD" w:rsidRDefault="003E217C" w:rsidP="003E217C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D607AD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Se procederá a actualizar información del contribuyente en 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PRITAS, esta sección permite consultar planillas de corporación, de individuos donde se detallan intereses, recargos, multas, penalidades, fecha de radicación y lista de transacciones, planes de pago, se crean los casos y notas en los mismos.</w:t>
      </w:r>
    </w:p>
    <w:p w:rsidR="003E217C" w:rsidRPr="0059141E" w:rsidRDefault="003E217C" w:rsidP="003E217C">
      <w:pPr>
        <w:pStyle w:val="Heading1"/>
        <w:numPr>
          <w:ilvl w:val="0"/>
          <w:numId w:val="17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Conversaciones</w:t>
      </w:r>
    </w:p>
    <w:p w:rsidR="003E217C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F101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Consulta de Datos Biográficos de contribuyentes Individuos y Corporaciones.</w:t>
      </w:r>
    </w:p>
    <w:p w:rsidR="003E217C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b w:val="0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F109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</w:r>
      <w:r w:rsidR="005A0BB7">
        <w:rPr>
          <w:rFonts w:ascii="Times New Roman" w:hAnsi="Times New Roman" w:cs="Times New Roman"/>
          <w:b w:val="0"/>
          <w:sz w:val="24"/>
          <w:szCs w:val="24"/>
          <w:lang w:val="es-ES"/>
        </w:rPr>
        <w:t>Contribuyente por tipos de dirección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F208</w:t>
      </w:r>
      <w:r w:rsidRPr="00515BD8"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Detalle de las Planillas de Individuos y Planillas de Corporación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  <w:r w:rsidR="005A0BB7">
        <w:rPr>
          <w:rFonts w:ascii="Times New Roman" w:hAnsi="Times New Roman" w:cs="Times New Roman"/>
          <w:b w:val="0"/>
          <w:sz w:val="24"/>
          <w:szCs w:val="24"/>
          <w:lang w:val="es-ES"/>
        </w:rPr>
        <w:t xml:space="preserve">  Todas las transacciones que se han realizado en cada periodo. 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F502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 xml:space="preserve">Se crean planes de pago en conjunto con la Conversación </w:t>
      </w: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>.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F607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Permite unir ID Casos</w:t>
      </w:r>
    </w:p>
    <w:p w:rsidR="003E217C" w:rsidRPr="00E330D2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F620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Solicitar ID Grupos y es cuando se agrupará deuda de soltero y deuda de casado en un solo número de caso.</w:t>
      </w:r>
    </w:p>
    <w:p w:rsidR="003E217C" w:rsidRPr="00515BD8" w:rsidRDefault="003E217C" w:rsidP="003E217C">
      <w:pPr>
        <w:pStyle w:val="Heading1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  <w:lang w:val="es-ES"/>
        </w:rPr>
      </w:pPr>
      <w:r w:rsidRPr="0059141E">
        <w:rPr>
          <w:rFonts w:ascii="Times New Roman" w:hAnsi="Times New Roman" w:cs="Times New Roman"/>
          <w:sz w:val="24"/>
          <w:szCs w:val="24"/>
          <w:lang w:val="es-ES"/>
        </w:rPr>
        <w:t>F625</w:t>
      </w:r>
      <w:r>
        <w:rPr>
          <w:rFonts w:ascii="Times New Roman" w:hAnsi="Times New Roman" w:cs="Times New Roman"/>
          <w:b w:val="0"/>
          <w:sz w:val="24"/>
          <w:szCs w:val="24"/>
          <w:lang w:val="es-ES"/>
        </w:rPr>
        <w:tab/>
        <w:t>Se crean planes de pago junto con la conversación F502, se Crean y se Cierran Casos, se consulta Caso ya creado, se Transfieren casos a Servicio a Contribuyente, Embargo, Enmendadas, Quiebra, Descuento de Sueldo y Distritos de Cobro.  También se crearán notas de cada cambio que se realice.</w:t>
      </w:r>
    </w:p>
    <w:p w:rsidR="003E217C" w:rsidRPr="00094355" w:rsidRDefault="003E217C" w:rsidP="003E217C">
      <w:pPr>
        <w:pStyle w:val="NormalWeb"/>
        <w:spacing w:after="0" w:afterAutospacing="0"/>
        <w:rPr>
          <w:b/>
          <w:lang w:val="es-ES"/>
        </w:rPr>
      </w:pPr>
      <w:r w:rsidRPr="00094355">
        <w:rPr>
          <w:b/>
          <w:lang w:val="es-ES"/>
        </w:rPr>
        <w:t xml:space="preserve">Se considera una Deuda </w:t>
      </w:r>
      <w:r w:rsidR="005A0BB7">
        <w:rPr>
          <w:b/>
          <w:lang w:val="es-ES"/>
        </w:rPr>
        <w:t>Vencida</w:t>
      </w:r>
      <w:r w:rsidRPr="00094355">
        <w:rPr>
          <w:b/>
          <w:lang w:val="es-ES"/>
        </w:rPr>
        <w:t xml:space="preserve"> aquella que:</w:t>
      </w:r>
    </w:p>
    <w:p w:rsidR="005A0BB7" w:rsidRPr="005A0BB7" w:rsidRDefault="003E217C" w:rsidP="008271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Tenga 90 días o más, pero menos de diez (10) años, de haber sido tasada la deuda</w:t>
      </w:r>
      <w:r w:rsidR="005A0BB7">
        <w:rPr>
          <w:rFonts w:ascii="Times New Roman" w:hAnsi="Times New Roman"/>
          <w:sz w:val="24"/>
          <w:szCs w:val="24"/>
          <w:lang w:val="es-ES"/>
        </w:rPr>
        <w:t>.</w:t>
      </w:r>
    </w:p>
    <w:p w:rsidR="005A0BB7" w:rsidRPr="00BA0BB5" w:rsidRDefault="005A0BB7" w:rsidP="008271E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Se excluye año corriente a la fecha de vencimiento de la planilla.</w:t>
      </w:r>
    </w:p>
    <w:p w:rsidR="003E217C" w:rsidRPr="00BA0BB5" w:rsidRDefault="003E217C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La deuda no está sujeta a un acuerdo de pago o no se han realizado pagos al plan en los últimos 90 días;</w:t>
      </w:r>
    </w:p>
    <w:p w:rsidR="003E217C" w:rsidRPr="00BA0BB5" w:rsidRDefault="003E217C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El Departamento no tiene conocimiento de que esté cobijada por la Ley de Quiebras</w:t>
      </w:r>
    </w:p>
    <w:p w:rsidR="003E217C" w:rsidRDefault="003E217C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A0BB5">
        <w:rPr>
          <w:rFonts w:ascii="Times New Roman" w:hAnsi="Times New Roman"/>
          <w:sz w:val="24"/>
          <w:szCs w:val="24"/>
          <w:lang w:val="es-ES"/>
        </w:rPr>
        <w:t>No tiene pendiente un recurso de revisión ante la Secretaría de Apelaciones Administrativas del Departamento o ante el foro judicial.</w:t>
      </w:r>
    </w:p>
    <w:p w:rsidR="005A0BB7" w:rsidRDefault="005A0BB7" w:rsidP="003E217C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Debe tener intereses, recargos, multas y/o penalidades si aplican.</w:t>
      </w:r>
    </w:p>
    <w:tbl>
      <w:tblPr>
        <w:tblW w:w="10262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454"/>
      </w:tblGrid>
      <w:tr w:rsidR="003E217C" w:rsidRPr="008271EA" w:rsidTr="003F5892">
        <w:trPr>
          <w:trHeight w:val="645"/>
        </w:trPr>
        <w:tc>
          <w:tcPr>
            <w:tcW w:w="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E8314F" w:rsidRDefault="003E217C" w:rsidP="003F58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298771" cy="265196"/>
                  <wp:effectExtent l="19050" t="0" r="6029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71" cy="265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Código,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E217C" w:rsidRPr="00545103" w:rsidRDefault="00DF6F18" w:rsidP="008271EA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spacing w:before="120" w:after="0" w:line="240" w:lineRule="auto"/>
        <w:ind w:left="990" w:hanging="630"/>
        <w:rPr>
          <w:rFonts w:ascii="Times New Roman" w:hAnsi="Times New Roman"/>
          <w:color w:val="000000"/>
          <w:sz w:val="24"/>
          <w:lang w:val="es-PR"/>
        </w:rPr>
      </w:pPr>
      <w:hyperlink r:id="rId13" w:history="1">
        <w:r w:rsidR="003E217C" w:rsidRPr="00EA0287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3E217C" w:rsidRPr="00EA0287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3E217C" w:rsidRPr="003C7712" w:rsidRDefault="003E217C" w:rsidP="008271EA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Manual Técnicas de Cobro (Departamento de Hacienda)</w:t>
      </w:r>
    </w:p>
    <w:p w:rsidR="003E217C" w:rsidRPr="007875DE" w:rsidRDefault="003E217C" w:rsidP="008271EA">
      <w:pPr>
        <w:pStyle w:val="ListParagraph"/>
        <w:numPr>
          <w:ilvl w:val="0"/>
          <w:numId w:val="4"/>
        </w:numPr>
        <w:shd w:val="clear" w:color="auto" w:fill="FFFFFF"/>
        <w:spacing w:before="120" w:after="0" w:line="240" w:lineRule="auto"/>
        <w:ind w:left="720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 xml:space="preserve">Manual Instructivo PRITAS </w:t>
      </w:r>
      <w:r w:rsidRPr="00545103">
        <w:rPr>
          <w:rFonts w:ascii="Times New Roman" w:hAnsi="Times New Roman"/>
          <w:i/>
          <w:color w:val="000000"/>
          <w:sz w:val="24"/>
          <w:szCs w:val="24"/>
          <w:lang w:val="es-PR"/>
        </w:rPr>
        <w:t>Call Center</w:t>
      </w:r>
      <w:r>
        <w:rPr>
          <w:rFonts w:ascii="Times New Roman" w:hAnsi="Times New Roman"/>
          <w:i/>
          <w:color w:val="000000"/>
          <w:sz w:val="24"/>
          <w:szCs w:val="24"/>
          <w:lang w:val="es-PR"/>
        </w:rPr>
        <w:t xml:space="preserve"> </w:t>
      </w:r>
      <w:r w:rsidRPr="00545103">
        <w:rPr>
          <w:rFonts w:ascii="Times New Roman" w:hAnsi="Times New Roman"/>
          <w:color w:val="000000"/>
          <w:sz w:val="24"/>
          <w:szCs w:val="24"/>
          <w:lang w:val="es-PR"/>
        </w:rPr>
        <w:t>(Departamento de Hacienda)</w:t>
      </w:r>
    </w:p>
    <w:p w:rsidR="003E217C" w:rsidRDefault="003E217C" w:rsidP="003E217C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525252"/>
          <w:sz w:val="24"/>
          <w:szCs w:val="24"/>
          <w:lang w:val="es-E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8271EA" w:rsidTr="003F5892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8" name="Picture 1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E217C" w:rsidRDefault="003E217C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Efectivo</w:t>
      </w:r>
    </w:p>
    <w:p w:rsidR="003E217C" w:rsidRDefault="003E217C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ATH</w:t>
      </w:r>
    </w:p>
    <w:p w:rsidR="005A0BB7" w:rsidRDefault="005A0BB7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Tarjetas de Crédito</w:t>
      </w:r>
    </w:p>
    <w:p w:rsidR="003E217C" w:rsidRDefault="003E217C" w:rsidP="008271EA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Cheque certificado (el cheque debe hacerse a nombre del Secretario de Hacienda).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8271EA" w:rsidTr="003F589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42900"/>
                  <wp:effectExtent l="19050" t="0" r="9525" b="0"/>
                  <wp:docPr id="6" name="Picture 2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3E217C" w:rsidRPr="00545103" w:rsidRDefault="003E217C" w:rsidP="008271EA">
      <w:pPr>
        <w:pStyle w:val="rteindent1"/>
        <w:numPr>
          <w:ilvl w:val="0"/>
          <w:numId w:val="26"/>
        </w:numPr>
        <w:spacing w:before="120" w:after="0" w:line="48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Haci</w:t>
      </w:r>
      <w:r w:rsidR="008271EA">
        <w:rPr>
          <w:rFonts w:ascii="Times New Roman" w:hAnsi="Times New Roman"/>
          <w:sz w:val="24"/>
          <w:szCs w:val="24"/>
          <w:lang w:val="es-ES"/>
        </w:rPr>
        <w:t>enda Responde “Sistema de Servicio y Atención al Contribuyente”</w:t>
      </w:r>
    </w:p>
    <w:p w:rsidR="003E217C" w:rsidRPr="004437E3" w:rsidRDefault="003E217C" w:rsidP="008271EA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 xml:space="preserve">Lunes a Viernes de </w:t>
      </w:r>
      <w:r w:rsidRPr="004437E3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3E217C" w:rsidRPr="004437E3" w:rsidRDefault="003E217C" w:rsidP="008271EA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  <w:t xml:space="preserve">(787) 620-2323 </w:t>
      </w:r>
      <w:r>
        <w:rPr>
          <w:rFonts w:ascii="Times New Roman" w:hAnsi="Times New Roman"/>
          <w:color w:val="000000"/>
          <w:sz w:val="24"/>
          <w:lang w:val="es-PR"/>
        </w:rPr>
        <w:t xml:space="preserve">/ </w:t>
      </w:r>
      <w:r w:rsidRPr="004437E3">
        <w:rPr>
          <w:rFonts w:ascii="Times New Roman" w:hAnsi="Times New Roman"/>
          <w:color w:val="000000"/>
          <w:sz w:val="24"/>
          <w:lang w:val="es-PR"/>
        </w:rPr>
        <w:t>(787) 721-2020 / (787) 7222-0216</w:t>
      </w:r>
    </w:p>
    <w:p w:rsidR="003E217C" w:rsidRPr="004437E3" w:rsidRDefault="003E217C" w:rsidP="008271EA">
      <w:pPr>
        <w:pStyle w:val="ListParagraph"/>
        <w:numPr>
          <w:ilvl w:val="0"/>
          <w:numId w:val="21"/>
        </w:numPr>
        <w:shd w:val="clear" w:color="auto" w:fill="FFFFFF"/>
        <w:spacing w:before="120" w:after="120" w:line="480" w:lineRule="auto"/>
        <w:rPr>
          <w:rFonts w:ascii="Times New Roman" w:hAnsi="Times New Roman"/>
          <w:color w:val="000000"/>
          <w:sz w:val="24"/>
          <w:lang w:val="es-PR"/>
        </w:rPr>
      </w:pPr>
      <w:r w:rsidRPr="004437E3">
        <w:rPr>
          <w:rFonts w:ascii="Times New Roman" w:hAnsi="Times New Roman"/>
          <w:b/>
          <w:color w:val="000000"/>
          <w:sz w:val="24"/>
          <w:lang w:val="es-PR"/>
        </w:rPr>
        <w:t>Fax:</w:t>
      </w:r>
      <w:r w:rsidRPr="004437E3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4437E3">
        <w:rPr>
          <w:rFonts w:ascii="Times New Roman" w:hAnsi="Times New Roman"/>
          <w:color w:val="000000"/>
          <w:sz w:val="24"/>
          <w:lang w:val="es-PR"/>
        </w:rPr>
        <w:tab/>
      </w:r>
      <w:r w:rsidR="008271EA">
        <w:rPr>
          <w:rFonts w:ascii="Times New Roman" w:hAnsi="Times New Roman"/>
          <w:color w:val="000000"/>
          <w:sz w:val="24"/>
          <w:lang w:val="es-PR"/>
        </w:rPr>
        <w:t xml:space="preserve">            </w:t>
      </w:r>
      <w:r w:rsidRPr="004437E3">
        <w:rPr>
          <w:rFonts w:ascii="Times New Roman" w:hAnsi="Times New Roman"/>
          <w:color w:val="000000"/>
          <w:sz w:val="24"/>
          <w:lang w:val="es-PR"/>
        </w:rPr>
        <w:t>(787) 200-7599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3E217C" w:rsidRPr="00DE7488" w:rsidTr="003F5892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Picture 3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E217C" w:rsidRPr="002608D6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3E217C" w:rsidRPr="004437E3" w:rsidRDefault="00082AA5" w:rsidP="008271EA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val="es-PR"/>
        </w:rPr>
      </w:pPr>
      <w:hyperlink r:id="rId17" w:history="1">
        <w:r w:rsidR="003E217C" w:rsidRPr="004437E3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217C" w:rsidRPr="00DE7488" w:rsidTr="003F589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217C" w:rsidRPr="00A625BF" w:rsidRDefault="003E217C" w:rsidP="003F589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9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E217C" w:rsidRPr="00F84D63" w:rsidRDefault="003E217C" w:rsidP="003F5892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E217C" w:rsidRDefault="0007380E" w:rsidP="009B744E">
      <w:pPr>
        <w:pStyle w:val="NormalWeb"/>
        <w:numPr>
          <w:ilvl w:val="0"/>
          <w:numId w:val="22"/>
        </w:numPr>
        <w:tabs>
          <w:tab w:val="left" w:pos="900"/>
        </w:tabs>
        <w:spacing w:before="120" w:after="120"/>
        <w:rPr>
          <w:b/>
          <w:lang w:val="es-ES"/>
        </w:rPr>
      </w:pPr>
      <w:r>
        <w:rPr>
          <w:b/>
          <w:lang w:val="es-ES"/>
        </w:rPr>
        <w:t xml:space="preserve">¿Por qué embargaron la cuenta?  </w:t>
      </w:r>
      <w:r w:rsidRPr="0007380E">
        <w:rPr>
          <w:lang w:val="es-ES"/>
        </w:rPr>
        <w:t>Porque existe deuda</w:t>
      </w:r>
      <w:r>
        <w:rPr>
          <w:lang w:val="es-ES"/>
        </w:rPr>
        <w:t xml:space="preserve"> con más de 90 días de atraso.</w:t>
      </w:r>
    </w:p>
    <w:p w:rsidR="0007380E" w:rsidRPr="0007380E" w:rsidRDefault="0007380E" w:rsidP="009B744E">
      <w:pPr>
        <w:pStyle w:val="NormalWeb"/>
        <w:numPr>
          <w:ilvl w:val="0"/>
          <w:numId w:val="22"/>
        </w:numPr>
        <w:tabs>
          <w:tab w:val="left" w:pos="900"/>
        </w:tabs>
        <w:spacing w:before="120" w:after="120"/>
        <w:rPr>
          <w:lang w:val="es-ES"/>
        </w:rPr>
      </w:pPr>
      <w:r>
        <w:rPr>
          <w:b/>
          <w:lang w:val="es-ES"/>
        </w:rPr>
        <w:lastRenderedPageBreak/>
        <w:t xml:space="preserve">¿Enmendé la planilla, que debo someter como evidencia? </w:t>
      </w:r>
      <w:r w:rsidRPr="0007380E">
        <w:rPr>
          <w:lang w:val="es-ES"/>
        </w:rPr>
        <w:t xml:space="preserve">Debe enviar carta explicativa con la razón por la cual enmendó la planilla y copia de la primera pagina de la planilla ponchada por el Departamento de Hacienda. </w:t>
      </w:r>
    </w:p>
    <w:p w:rsidR="00CB0120" w:rsidRPr="003E217C" w:rsidRDefault="00CB0120">
      <w:pPr>
        <w:rPr>
          <w:lang w:val="es-ES"/>
        </w:rPr>
      </w:pPr>
    </w:p>
    <w:sectPr w:rsidR="00CB0120" w:rsidRPr="003E217C" w:rsidSect="003E217C">
      <w:headerReference w:type="default" r:id="rId19"/>
      <w:footerReference w:type="default" r:id="rId2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18" w:rsidRDefault="00DF6F18" w:rsidP="003E217C">
      <w:pPr>
        <w:spacing w:after="0" w:line="240" w:lineRule="auto"/>
      </w:pPr>
      <w:r>
        <w:separator/>
      </w:r>
    </w:p>
  </w:endnote>
  <w:endnote w:type="continuationSeparator" w:id="0">
    <w:p w:rsidR="00DF6F18" w:rsidRDefault="00DF6F18" w:rsidP="003E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3E217C" w:rsidRPr="008271EA" w:rsidTr="003F5892">
      <w:tc>
        <w:tcPr>
          <w:tcW w:w="918" w:type="dxa"/>
        </w:tcPr>
        <w:p w:rsidR="003E217C" w:rsidRDefault="003E217C" w:rsidP="003F589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 wp14:anchorId="3BBEED20" wp14:editId="269BC61C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50511" w:rsidRPr="008271EA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271EA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50511" w:rsidRPr="008271EA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044ED" w:rsidRPr="007044ED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A50511" w:rsidRPr="008271EA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3E217C" w:rsidRDefault="003E217C" w:rsidP="003F5892">
          <w:pPr>
            <w:pStyle w:val="Footer"/>
            <w:rPr>
              <w:rFonts w:ascii="Times New Roman" w:hAnsi="Times New Roman"/>
              <w:lang w:val="es-PR"/>
            </w:rPr>
          </w:pPr>
        </w:p>
        <w:p w:rsidR="003E217C" w:rsidRPr="00BD789E" w:rsidRDefault="003E217C" w:rsidP="008271EA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BD789E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3E217C" w:rsidRDefault="003E217C" w:rsidP="008271E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3E217C" w:rsidRPr="008F04DB" w:rsidRDefault="003E217C" w:rsidP="008271E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3E217C" w:rsidRPr="003E217C" w:rsidRDefault="003E217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18" w:rsidRDefault="00DF6F18" w:rsidP="003E217C">
      <w:pPr>
        <w:spacing w:after="0" w:line="240" w:lineRule="auto"/>
      </w:pPr>
      <w:r>
        <w:separator/>
      </w:r>
    </w:p>
  </w:footnote>
  <w:footnote w:type="continuationSeparator" w:id="0">
    <w:p w:rsidR="00DF6F18" w:rsidRDefault="00DF6F18" w:rsidP="003E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E217C" w:rsidRPr="008271EA" w:rsidTr="003F5892">
      <w:trPr>
        <w:trHeight w:val="288"/>
      </w:trPr>
      <w:tc>
        <w:tcPr>
          <w:tcW w:w="8395" w:type="dxa"/>
        </w:tcPr>
        <w:p w:rsidR="008271EA" w:rsidRDefault="003E217C" w:rsidP="00780FF9">
          <w:pPr>
            <w:tabs>
              <w:tab w:val="center" w:pos="4127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3E217C" w:rsidRDefault="008271EA" w:rsidP="00780FF9">
          <w:pPr>
            <w:tabs>
              <w:tab w:val="center" w:pos="4127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="00780FF9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3E217C" w:rsidRDefault="003E217C" w:rsidP="003F5892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Recaudaciones</w:t>
          </w:r>
        </w:p>
        <w:p w:rsidR="003E217C" w:rsidRPr="004C743D" w:rsidRDefault="003E217C" w:rsidP="00673C3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Embargos </w:t>
          </w:r>
          <w:r w:rsidR="008E5E1C">
            <w:rPr>
              <w:rFonts w:ascii="Times New Roman" w:hAnsi="Times New Roman"/>
              <w:b/>
              <w:sz w:val="28"/>
              <w:szCs w:val="28"/>
              <w:lang w:val="es-PR"/>
            </w:rPr>
            <w:t>Electrónico</w:t>
          </w:r>
          <w:r w:rsidR="004029B9">
            <w:rPr>
              <w:rFonts w:ascii="Times New Roman" w:hAnsi="Times New Roman"/>
              <w:b/>
              <w:sz w:val="28"/>
              <w:szCs w:val="28"/>
              <w:lang w:val="es-PR"/>
            </w:rPr>
            <w:t>s</w:t>
          </w:r>
          <w:r w:rsidR="008E5E1C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</w:t>
          </w:r>
        </w:p>
      </w:tc>
      <w:tc>
        <w:tcPr>
          <w:tcW w:w="1195" w:type="dxa"/>
        </w:tcPr>
        <w:p w:rsidR="003E217C" w:rsidRPr="00D049E5" w:rsidRDefault="00FF512A" w:rsidP="003F589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BF415D4" wp14:editId="0DF66699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502921</wp:posOffset>
                    </wp:positionV>
                    <wp:extent cx="1114425" cy="361950"/>
                    <wp:effectExtent l="0" t="0" r="28575" b="1905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4425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217C" w:rsidRPr="00446DFA" w:rsidRDefault="003E217C" w:rsidP="008271E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NREC-</w:t>
                                </w:r>
                                <w:r w:rsidR="007044ED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007</w:t>
                                </w:r>
                              </w:p>
                              <w:p w:rsidR="003E217C" w:rsidRPr="002608D6" w:rsidRDefault="003E217C" w:rsidP="003E217C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Vigencia: 2</w:t>
                                </w:r>
                                <w:r w:rsidR="007044ED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-sep</w:t>
                                </w:r>
                                <w:r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39.6pt;width:8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">
                    <v:textbox>
                      <w:txbxContent>
                        <w:p w:rsidR="003E217C" w:rsidRPr="00446DFA" w:rsidRDefault="003E217C" w:rsidP="008271E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NREC-</w:t>
                          </w:r>
                          <w:r w:rsidR="007044E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007</w:t>
                          </w:r>
                        </w:p>
                        <w:p w:rsidR="003E217C" w:rsidRPr="002608D6" w:rsidRDefault="003E217C" w:rsidP="003E21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Vigencia: 2</w:t>
                          </w:r>
                          <w:r w:rsidR="007044ED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-sep</w:t>
                          </w:r>
                          <w:r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3E217C" w:rsidRPr="00E80E85" w:rsidRDefault="003E217C" w:rsidP="003E217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A2"/>
    <w:multiLevelType w:val="hybridMultilevel"/>
    <w:tmpl w:val="F060138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576C47"/>
    <w:multiLevelType w:val="hybridMultilevel"/>
    <w:tmpl w:val="5D5E7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5794C"/>
    <w:multiLevelType w:val="hybridMultilevel"/>
    <w:tmpl w:val="FD86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C0AC3"/>
    <w:multiLevelType w:val="hybridMultilevel"/>
    <w:tmpl w:val="3546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8A46AE"/>
    <w:multiLevelType w:val="hybridMultilevel"/>
    <w:tmpl w:val="36B2CC98"/>
    <w:lvl w:ilvl="0" w:tplc="A1B670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FB5309"/>
    <w:multiLevelType w:val="hybridMultilevel"/>
    <w:tmpl w:val="F7BA305E"/>
    <w:lvl w:ilvl="0" w:tplc="07409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5F4470"/>
    <w:multiLevelType w:val="hybridMultilevel"/>
    <w:tmpl w:val="848454D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2414466"/>
    <w:multiLevelType w:val="hybridMultilevel"/>
    <w:tmpl w:val="6CD20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7F7FF2"/>
    <w:multiLevelType w:val="hybridMultilevel"/>
    <w:tmpl w:val="716E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7C74"/>
    <w:multiLevelType w:val="hybridMultilevel"/>
    <w:tmpl w:val="60DC61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912049"/>
    <w:multiLevelType w:val="hybridMultilevel"/>
    <w:tmpl w:val="DB4C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578B1"/>
    <w:multiLevelType w:val="hybridMultilevel"/>
    <w:tmpl w:val="DFD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52FDC"/>
    <w:multiLevelType w:val="hybridMultilevel"/>
    <w:tmpl w:val="8870B5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0C23D6"/>
    <w:multiLevelType w:val="hybridMultilevel"/>
    <w:tmpl w:val="2F7C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971B0"/>
    <w:multiLevelType w:val="hybridMultilevel"/>
    <w:tmpl w:val="5778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06A52"/>
    <w:multiLevelType w:val="hybridMultilevel"/>
    <w:tmpl w:val="528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8085D"/>
    <w:multiLevelType w:val="hybridMultilevel"/>
    <w:tmpl w:val="F648E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83870"/>
    <w:multiLevelType w:val="hybridMultilevel"/>
    <w:tmpl w:val="4B98572E"/>
    <w:lvl w:ilvl="0" w:tplc="0AD86E6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289671C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  <w:lang w:val="es-ES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535078B4"/>
    <w:multiLevelType w:val="hybridMultilevel"/>
    <w:tmpl w:val="A3C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71754"/>
    <w:multiLevelType w:val="hybridMultilevel"/>
    <w:tmpl w:val="C5F2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F055A"/>
    <w:multiLevelType w:val="hybridMultilevel"/>
    <w:tmpl w:val="FA5C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C0076"/>
    <w:multiLevelType w:val="hybridMultilevel"/>
    <w:tmpl w:val="34B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A252F"/>
    <w:multiLevelType w:val="hybridMultilevel"/>
    <w:tmpl w:val="D9F29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A5246F"/>
    <w:multiLevelType w:val="multilevel"/>
    <w:tmpl w:val="D3C0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24"/>
  </w:num>
  <w:num w:numId="12">
    <w:abstractNumId w:val="1"/>
  </w:num>
  <w:num w:numId="13">
    <w:abstractNumId w:val="18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1"/>
  </w:num>
  <w:num w:numId="22">
    <w:abstractNumId w:val="22"/>
  </w:num>
  <w:num w:numId="23">
    <w:abstractNumId w:val="10"/>
  </w:num>
  <w:num w:numId="24">
    <w:abstractNumId w:val="11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47"/>
    <w:rsid w:val="00007E13"/>
    <w:rsid w:val="000171C1"/>
    <w:rsid w:val="00024DE7"/>
    <w:rsid w:val="0007380E"/>
    <w:rsid w:val="00082AA5"/>
    <w:rsid w:val="000B3CFC"/>
    <w:rsid w:val="000F2F12"/>
    <w:rsid w:val="00173FEA"/>
    <w:rsid w:val="002651C9"/>
    <w:rsid w:val="00280584"/>
    <w:rsid w:val="00297588"/>
    <w:rsid w:val="003434C7"/>
    <w:rsid w:val="00362DA7"/>
    <w:rsid w:val="003707D7"/>
    <w:rsid w:val="003E217C"/>
    <w:rsid w:val="004029B9"/>
    <w:rsid w:val="004A0999"/>
    <w:rsid w:val="004F1547"/>
    <w:rsid w:val="005429C8"/>
    <w:rsid w:val="0055155C"/>
    <w:rsid w:val="005A0BB7"/>
    <w:rsid w:val="005D4810"/>
    <w:rsid w:val="006215B3"/>
    <w:rsid w:val="0067299A"/>
    <w:rsid w:val="00673C37"/>
    <w:rsid w:val="006C682D"/>
    <w:rsid w:val="006F4F4C"/>
    <w:rsid w:val="007027EE"/>
    <w:rsid w:val="007044ED"/>
    <w:rsid w:val="00780FF9"/>
    <w:rsid w:val="007F5637"/>
    <w:rsid w:val="008271EA"/>
    <w:rsid w:val="008D4BA4"/>
    <w:rsid w:val="008E5E1C"/>
    <w:rsid w:val="00951F2E"/>
    <w:rsid w:val="00960C5D"/>
    <w:rsid w:val="00970C2C"/>
    <w:rsid w:val="009B744E"/>
    <w:rsid w:val="00A32D07"/>
    <w:rsid w:val="00A50511"/>
    <w:rsid w:val="00AD1692"/>
    <w:rsid w:val="00B2483A"/>
    <w:rsid w:val="00B84691"/>
    <w:rsid w:val="00C544C0"/>
    <w:rsid w:val="00CB0120"/>
    <w:rsid w:val="00CF7A95"/>
    <w:rsid w:val="00DF6F18"/>
    <w:rsid w:val="00FF0296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C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217C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E217C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7C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3E217C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7C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E217C"/>
    <w:pPr>
      <w:spacing w:before="300" w:after="150" w:line="240" w:lineRule="auto"/>
      <w:outlineLvl w:val="0"/>
    </w:pPr>
    <w:rPr>
      <w:rFonts w:ascii="Helvetica" w:eastAsia="Times New Roman" w:hAnsi="Helvetica" w:cs="Helvetica"/>
      <w:b/>
      <w:bCs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7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E217C"/>
    <w:rPr>
      <w:rFonts w:ascii="Helvetica" w:eastAsia="Times New Roman" w:hAnsi="Helvetica" w:cs="Helvetica"/>
      <w:b/>
      <w:bCs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7C"/>
    <w:rPr>
      <w:color w:val="0000FF" w:themeColor="hyperlink"/>
      <w:u w:val="single"/>
    </w:rPr>
  </w:style>
  <w:style w:type="paragraph" w:customStyle="1" w:styleId="rteindent1">
    <w:name w:val="rteindent1"/>
    <w:basedOn w:val="Normal"/>
    <w:rsid w:val="003E217C"/>
    <w:pPr>
      <w:spacing w:after="150" w:line="315" w:lineRule="atLeast"/>
      <w:ind w:left="600"/>
    </w:pPr>
    <w:rPr>
      <w:rFonts w:ascii="Open Sans" w:eastAsia="Times New Roman" w:hAnsi="Open Sans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Classification xmlns="5f0ae432-0749-408f-8ead-50bf53da4852">10</Classification>
    <Negociado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3784CF7D-F884-4B18-8384-92B3382A4B0B}"/>
</file>

<file path=customXml/itemProps2.xml><?xml version="1.0" encoding="utf-8"?>
<ds:datastoreItem xmlns:ds="http://schemas.openxmlformats.org/officeDocument/2006/customXml" ds:itemID="{63D5AD88-761D-4E1D-9B11-734A62E88B21}"/>
</file>

<file path=customXml/itemProps3.xml><?xml version="1.0" encoding="utf-8"?>
<ds:datastoreItem xmlns:ds="http://schemas.openxmlformats.org/officeDocument/2006/customXml" ds:itemID="{8913CAEA-6B93-4D04-931D-4398EA1A742E}"/>
</file>

<file path=customXml/itemProps4.xml><?xml version="1.0" encoding="utf-8"?>
<ds:datastoreItem xmlns:ds="http://schemas.openxmlformats.org/officeDocument/2006/customXml" ds:itemID="{152F0F4F-DC1A-4E6C-AAD1-F12EDC1D6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Embargos Electrónicos </vt:lpstr>
    </vt:vector>
  </TitlesOfParts>
  <Company>Area de Rentas Internas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Embargos Electrónicos</dc:title>
  <dc:subject>Referido</dc:subject>
  <dc:creator>Alma Delgado Pagan</dc:creator>
  <cp:keywords>NREC</cp:keywords>
  <dc:description/>
  <cp:lastModifiedBy>jtb3509</cp:lastModifiedBy>
  <cp:revision>5</cp:revision>
  <dcterms:created xsi:type="dcterms:W3CDTF">2015-09-25T19:54:00Z</dcterms:created>
  <dcterms:modified xsi:type="dcterms:W3CDTF">2015-09-29T15:54:00Z</dcterms:modified>
  <cp:category>Negociado de Recaudaciones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