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383494">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8C12DC" w:rsidRDefault="008C12DC" w:rsidP="00A46E43">
      <w:pPr>
        <w:pStyle w:val="ListParagraph"/>
        <w:numPr>
          <w:ilvl w:val="0"/>
          <w:numId w:val="40"/>
        </w:numPr>
        <w:spacing w:before="120" w:after="120"/>
        <w:jc w:val="both"/>
        <w:rPr>
          <w:rFonts w:ascii="Times New Roman" w:hAnsi="Times New Roman"/>
          <w:sz w:val="24"/>
          <w:szCs w:val="24"/>
          <w:lang w:val="es-PR"/>
        </w:rPr>
      </w:pPr>
      <w:r>
        <w:rPr>
          <w:rFonts w:ascii="Times New Roman" w:hAnsi="Times New Roman"/>
          <w:sz w:val="24"/>
          <w:szCs w:val="24"/>
          <w:lang w:val="es-PR"/>
        </w:rPr>
        <w:t>Se ofrece información sobre aquellos ingresos no detallados en ninguna partida de la planilla o sus anejos.</w:t>
      </w:r>
      <w:r w:rsidR="00A46E43">
        <w:rPr>
          <w:rFonts w:ascii="Times New Roman" w:hAnsi="Times New Roman"/>
          <w:sz w:val="24"/>
          <w:szCs w:val="24"/>
          <w:lang w:val="es-PR"/>
        </w:rPr>
        <w:t xml:space="preserve"> L</w:t>
      </w:r>
      <w:r>
        <w:rPr>
          <w:rFonts w:ascii="Times New Roman" w:hAnsi="Times New Roman"/>
          <w:sz w:val="24"/>
          <w:szCs w:val="24"/>
          <w:lang w:val="es-PR"/>
        </w:rPr>
        <w:t>os ingresos de indemnización judicial o extrajudicial, los ingresos de premios o concursos y el ingreso de equipos de béisbol de Grandes Ligas y Asociación Nacional de Baloncesto de los EE.UU</w:t>
      </w:r>
      <w:r w:rsidR="00A46E43">
        <w:rPr>
          <w:rFonts w:ascii="Times New Roman" w:hAnsi="Times New Roman"/>
          <w:sz w:val="24"/>
          <w:szCs w:val="24"/>
          <w:lang w:val="es-PR"/>
        </w:rPr>
        <w:t xml:space="preserve"> se</w:t>
      </w:r>
      <w:r w:rsidR="00280307">
        <w:rPr>
          <w:rFonts w:ascii="Times New Roman" w:hAnsi="Times New Roman"/>
          <w:sz w:val="24"/>
          <w:szCs w:val="24"/>
          <w:lang w:val="es-PR"/>
        </w:rPr>
        <w:t>rán explicados</w:t>
      </w:r>
      <w:r w:rsidR="00A46E43">
        <w:rPr>
          <w:rFonts w:ascii="Times New Roman" w:hAnsi="Times New Roman"/>
          <w:sz w:val="24"/>
          <w:szCs w:val="24"/>
          <w:lang w:val="es-PR"/>
        </w:rPr>
        <w:t xml:space="preserve"> en esta plantilla</w:t>
      </w:r>
      <w:r>
        <w:rPr>
          <w:rFonts w:ascii="Times New Roman" w:hAnsi="Times New Roman"/>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AF552F" w:rsidTr="006722F6">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383494"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6722F6">
              <w:rPr>
                <w:rFonts w:ascii="Times New Roman" w:eastAsiaTheme="minorHAnsi" w:hAnsi="Times New Roman"/>
                <w:b/>
                <w:sz w:val="28"/>
                <w:szCs w:val="24"/>
                <w:lang w:val="es-PR"/>
              </w:rPr>
              <w:t>ontribuyente</w:t>
            </w:r>
          </w:p>
        </w:tc>
      </w:tr>
    </w:tbl>
    <w:p w:rsidR="008F34D6" w:rsidRPr="008D7915" w:rsidRDefault="008C12DC" w:rsidP="008C12DC">
      <w:pPr>
        <w:pStyle w:val="ListParagraph"/>
        <w:numPr>
          <w:ilvl w:val="0"/>
          <w:numId w:val="35"/>
        </w:numPr>
        <w:spacing w:before="120" w:after="120"/>
        <w:rPr>
          <w:rFonts w:ascii="Times New Roman" w:hAnsi="Times New Roman"/>
          <w:sz w:val="24"/>
          <w:szCs w:val="24"/>
          <w:lang w:val="es-PR"/>
        </w:rPr>
      </w:pPr>
      <w:r w:rsidRPr="008D7915">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6B7BCE" w:rsidTr="006722F6">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 xml:space="preserve">s y </w:t>
            </w:r>
            <w:r w:rsidR="00383494">
              <w:rPr>
                <w:rFonts w:ascii="Times New Roman" w:eastAsiaTheme="minorHAnsi" w:hAnsi="Times New Roman"/>
                <w:b/>
                <w:sz w:val="28"/>
                <w:szCs w:val="28"/>
                <w:lang w:val="es-PR"/>
              </w:rPr>
              <w:t>documentos referentes al s</w:t>
            </w:r>
            <w:r w:rsidRPr="002608D6">
              <w:rPr>
                <w:rFonts w:ascii="Times New Roman" w:eastAsiaTheme="minorHAnsi" w:hAnsi="Times New Roman"/>
                <w:b/>
                <w:sz w:val="28"/>
                <w:szCs w:val="28"/>
                <w:lang w:val="es-PR"/>
              </w:rPr>
              <w:t>ervicio</w:t>
            </w:r>
          </w:p>
        </w:tc>
      </w:tr>
    </w:tbl>
    <w:p w:rsidR="008C12DC" w:rsidRDefault="008C12DC" w:rsidP="008C12DC">
      <w:pPr>
        <w:pStyle w:val="ListParagraph"/>
        <w:numPr>
          <w:ilvl w:val="0"/>
          <w:numId w:val="39"/>
        </w:numPr>
        <w:spacing w:before="120" w:after="120"/>
        <w:jc w:val="both"/>
        <w:rPr>
          <w:rFonts w:ascii="Times New Roman" w:hAnsi="Times New Roman"/>
          <w:b/>
          <w:sz w:val="24"/>
          <w:szCs w:val="24"/>
          <w:lang w:val="es-PR"/>
        </w:rPr>
      </w:pPr>
      <w:r w:rsidRPr="008C12DC">
        <w:rPr>
          <w:rFonts w:ascii="Times New Roman" w:hAnsi="Times New Roman"/>
          <w:b/>
          <w:sz w:val="24"/>
          <w:szCs w:val="24"/>
          <w:lang w:val="es-PR"/>
        </w:rPr>
        <w:t>Ingresos de indemnización judicial o extrajudicial</w:t>
      </w:r>
    </w:p>
    <w:p w:rsidR="008C12DC" w:rsidRPr="008C12DC" w:rsidRDefault="008C12DC" w:rsidP="008C12DC">
      <w:pPr>
        <w:pStyle w:val="ListParagraph"/>
        <w:numPr>
          <w:ilvl w:val="1"/>
          <w:numId w:val="39"/>
        </w:numPr>
        <w:jc w:val="both"/>
        <w:rPr>
          <w:rFonts w:ascii="Times New Roman" w:hAnsi="Times New Roman"/>
          <w:b/>
          <w:sz w:val="24"/>
          <w:szCs w:val="24"/>
          <w:lang w:val="es-PR"/>
        </w:rPr>
      </w:pPr>
      <w:r w:rsidRPr="008C12DC">
        <w:rPr>
          <w:rFonts w:ascii="Times New Roman" w:hAnsi="Times New Roman"/>
          <w:sz w:val="24"/>
          <w:szCs w:val="24"/>
          <w:lang w:val="es-PR"/>
        </w:rPr>
        <w:t xml:space="preserve">Las cantidades recibidas por indemnización judicial o extrajudicial, pagadas bajo una sentencia dictada por el Tribunal o bajo una reclamación extrajudicial, constituyen, en ciertos casos, </w:t>
      </w:r>
      <w:r w:rsidRPr="008C12DC">
        <w:rPr>
          <w:rFonts w:ascii="Times New Roman" w:hAnsi="Times New Roman"/>
          <w:b/>
          <w:sz w:val="24"/>
          <w:szCs w:val="24"/>
          <w:lang w:val="es-PR"/>
        </w:rPr>
        <w:t>ingreso tributable</w:t>
      </w:r>
      <w:r w:rsidRPr="008C12DC">
        <w:rPr>
          <w:rFonts w:ascii="Times New Roman" w:hAnsi="Times New Roman"/>
          <w:sz w:val="24"/>
          <w:szCs w:val="24"/>
          <w:lang w:val="es-PR"/>
        </w:rPr>
        <w:t xml:space="preserve">. Este ingreso incluye, entre otras, las siguientes partidas: </w:t>
      </w:r>
    </w:p>
    <w:p w:rsidR="0085197F" w:rsidRPr="0085197F" w:rsidRDefault="008C12DC" w:rsidP="0085197F">
      <w:pPr>
        <w:pStyle w:val="ListParagraph"/>
        <w:numPr>
          <w:ilvl w:val="2"/>
          <w:numId w:val="39"/>
        </w:numPr>
        <w:jc w:val="both"/>
        <w:rPr>
          <w:rFonts w:ascii="Times New Roman" w:hAnsi="Times New Roman"/>
          <w:b/>
          <w:sz w:val="24"/>
          <w:szCs w:val="24"/>
          <w:lang w:val="es-PR"/>
        </w:rPr>
      </w:pPr>
      <w:r w:rsidRPr="008C12DC">
        <w:rPr>
          <w:rFonts w:ascii="Times New Roman" w:hAnsi="Times New Roman"/>
          <w:sz w:val="24"/>
          <w:szCs w:val="24"/>
          <w:lang w:val="es-PR"/>
        </w:rPr>
        <w:t xml:space="preserve">cualquier parte de la compensación que represente o sustituya pérdida de ingresos o salarios, incluyendo lucro cesante; y </w:t>
      </w:r>
    </w:p>
    <w:p w:rsidR="0085197F" w:rsidRPr="0085197F" w:rsidRDefault="008C12DC" w:rsidP="0085197F">
      <w:pPr>
        <w:pStyle w:val="ListParagraph"/>
        <w:numPr>
          <w:ilvl w:val="2"/>
          <w:numId w:val="39"/>
        </w:numPr>
        <w:jc w:val="both"/>
        <w:rPr>
          <w:rFonts w:ascii="Times New Roman" w:hAnsi="Times New Roman"/>
          <w:b/>
          <w:sz w:val="24"/>
          <w:szCs w:val="24"/>
          <w:lang w:val="es-PR"/>
        </w:rPr>
      </w:pPr>
      <w:r w:rsidRPr="0085197F">
        <w:rPr>
          <w:rFonts w:ascii="Times New Roman" w:hAnsi="Times New Roman"/>
          <w:sz w:val="24"/>
          <w:szCs w:val="24"/>
          <w:lang w:val="es-PR"/>
        </w:rPr>
        <w:t>la indemnización por salarios dejados de percibir en caso de destitución o suspensión de empleo y sueldo o despidos ilegales</w:t>
      </w:r>
      <w:r w:rsidR="0085197F" w:rsidRPr="0085197F">
        <w:rPr>
          <w:rFonts w:ascii="Times New Roman" w:hAnsi="Times New Roman"/>
          <w:sz w:val="24"/>
          <w:szCs w:val="24"/>
          <w:lang w:val="es-PR"/>
        </w:rPr>
        <w:t>.</w:t>
      </w:r>
    </w:p>
    <w:p w:rsidR="007067F9" w:rsidRDefault="0085197F" w:rsidP="0085197F">
      <w:pPr>
        <w:pStyle w:val="ListParagraph"/>
        <w:numPr>
          <w:ilvl w:val="0"/>
          <w:numId w:val="42"/>
        </w:numPr>
        <w:jc w:val="both"/>
        <w:rPr>
          <w:rFonts w:ascii="Times New Roman" w:hAnsi="Times New Roman"/>
          <w:sz w:val="24"/>
          <w:szCs w:val="24"/>
          <w:lang w:val="es-PR"/>
        </w:rPr>
      </w:pPr>
      <w:r>
        <w:rPr>
          <w:rFonts w:ascii="Times New Roman" w:hAnsi="Times New Roman"/>
          <w:sz w:val="24"/>
          <w:szCs w:val="24"/>
          <w:lang w:val="es-PR"/>
        </w:rPr>
        <w:t xml:space="preserve">Las cantidades recibidas por indemnización judicial o extrajudicial están sujetas a una retención en el origen de un 7%. </w:t>
      </w:r>
      <w:r w:rsidRPr="00AF552F">
        <w:rPr>
          <w:rFonts w:ascii="Times New Roman" w:hAnsi="Times New Roman"/>
          <w:sz w:val="24"/>
          <w:szCs w:val="24"/>
          <w:lang w:val="es-PR"/>
        </w:rPr>
        <w:t>Estos ingresos son informados en el</w:t>
      </w:r>
      <w:r>
        <w:rPr>
          <w:rFonts w:ascii="Times New Roman" w:hAnsi="Times New Roman"/>
          <w:sz w:val="24"/>
          <w:szCs w:val="24"/>
          <w:lang w:val="es-PR"/>
        </w:rPr>
        <w:t xml:space="preserve"> Formulario 480.6B: Declaración Informativa- Ingresos sujetos a retención.</w:t>
      </w:r>
    </w:p>
    <w:p w:rsidR="0085197F" w:rsidRDefault="007067F9" w:rsidP="0085197F">
      <w:pPr>
        <w:pStyle w:val="ListParagraph"/>
        <w:numPr>
          <w:ilvl w:val="0"/>
          <w:numId w:val="42"/>
        </w:numPr>
        <w:jc w:val="both"/>
        <w:rPr>
          <w:rFonts w:ascii="Times New Roman" w:hAnsi="Times New Roman"/>
          <w:sz w:val="24"/>
          <w:szCs w:val="24"/>
          <w:lang w:val="es-PR"/>
        </w:rPr>
      </w:pPr>
      <w:r>
        <w:rPr>
          <w:rFonts w:ascii="Times New Roman" w:hAnsi="Times New Roman"/>
          <w:sz w:val="24"/>
          <w:szCs w:val="24"/>
          <w:lang w:val="es-PR"/>
        </w:rPr>
        <w:t xml:space="preserve">Estos ingresos </w:t>
      </w:r>
      <w:r w:rsidRPr="0085197F">
        <w:rPr>
          <w:rFonts w:ascii="Times New Roman" w:hAnsi="Times New Roman"/>
          <w:sz w:val="24"/>
          <w:szCs w:val="24"/>
          <w:lang w:val="es-PR"/>
        </w:rPr>
        <w:t>tributan como ingreso ordinario y se informarán en el Anejo F, Parte VII, Columna B. La contribución retenida se informa en el Anejo B Individuo, Parte III, Línea 8.</w:t>
      </w:r>
    </w:p>
    <w:p w:rsidR="00A46E43" w:rsidRDefault="008C12DC" w:rsidP="00A46E43">
      <w:pPr>
        <w:pStyle w:val="ListParagraph"/>
        <w:numPr>
          <w:ilvl w:val="0"/>
          <w:numId w:val="39"/>
        </w:numPr>
        <w:jc w:val="both"/>
        <w:rPr>
          <w:rFonts w:ascii="Times New Roman" w:hAnsi="Times New Roman"/>
          <w:b/>
          <w:sz w:val="24"/>
          <w:szCs w:val="24"/>
          <w:lang w:val="es-PR"/>
        </w:rPr>
      </w:pPr>
      <w:r>
        <w:rPr>
          <w:rFonts w:ascii="Times New Roman" w:hAnsi="Times New Roman"/>
          <w:b/>
          <w:sz w:val="24"/>
          <w:szCs w:val="24"/>
          <w:lang w:val="es-PR"/>
        </w:rPr>
        <w:t>Ingresos de premios y concursos</w:t>
      </w:r>
    </w:p>
    <w:p w:rsidR="007067F9" w:rsidRPr="007067F9" w:rsidRDefault="008C12DC" w:rsidP="00A46E43">
      <w:pPr>
        <w:pStyle w:val="ListParagraph"/>
        <w:numPr>
          <w:ilvl w:val="1"/>
          <w:numId w:val="39"/>
        </w:numPr>
        <w:jc w:val="both"/>
        <w:rPr>
          <w:rFonts w:ascii="Times New Roman" w:hAnsi="Times New Roman"/>
          <w:b/>
          <w:sz w:val="24"/>
          <w:szCs w:val="24"/>
          <w:lang w:val="es-PR"/>
        </w:rPr>
      </w:pPr>
      <w:r w:rsidRPr="00A46E43">
        <w:rPr>
          <w:rFonts w:ascii="Times New Roman" w:hAnsi="Times New Roman"/>
          <w:sz w:val="24"/>
          <w:szCs w:val="24"/>
          <w:lang w:val="es-PR"/>
        </w:rPr>
        <w:t>Como regla general, los premios ganados en concursos, en juegos de casino, así como las becas ganadas en competencias en las cuales los contribuyentes han participado, son tributables. Por lo tanto, es ingreso tributable el dinero o el valor en el mercado de la propiedad recibida bajo dicho concepto, cuando el contribuyente ha realizado un esfuerzo para obtener el premio o la beca. Si se acoge al cómputo opcional de la contribución, este ingreso se atribuirá en partes iguales a ambos cónyuges.</w:t>
      </w:r>
      <w:r w:rsidR="007067F9" w:rsidRPr="007067F9">
        <w:rPr>
          <w:rFonts w:ascii="Times New Roman" w:hAnsi="Times New Roman"/>
          <w:color w:val="000000"/>
          <w:sz w:val="24"/>
          <w:szCs w:val="24"/>
          <w:lang w:val="es-PR"/>
        </w:rPr>
        <w:t xml:space="preserve"> </w:t>
      </w:r>
    </w:p>
    <w:p w:rsidR="00A46E43" w:rsidRPr="00A46E43" w:rsidRDefault="007067F9" w:rsidP="00A46E43">
      <w:pPr>
        <w:pStyle w:val="ListParagraph"/>
        <w:numPr>
          <w:ilvl w:val="1"/>
          <w:numId w:val="39"/>
        </w:numPr>
        <w:jc w:val="both"/>
        <w:rPr>
          <w:rFonts w:ascii="Times New Roman" w:hAnsi="Times New Roman"/>
          <w:b/>
          <w:sz w:val="24"/>
          <w:szCs w:val="24"/>
          <w:lang w:val="es-PR"/>
        </w:rPr>
      </w:pPr>
      <w:r>
        <w:rPr>
          <w:rFonts w:ascii="Times New Roman" w:hAnsi="Times New Roman"/>
          <w:color w:val="000000"/>
          <w:sz w:val="24"/>
          <w:szCs w:val="24"/>
          <w:lang w:val="es-PR"/>
        </w:rPr>
        <w:lastRenderedPageBreak/>
        <w:t xml:space="preserve">Estos </w:t>
      </w:r>
      <w:r w:rsidRPr="0085197F">
        <w:rPr>
          <w:rFonts w:ascii="Times New Roman" w:hAnsi="Times New Roman"/>
          <w:color w:val="000000"/>
          <w:sz w:val="24"/>
          <w:szCs w:val="24"/>
          <w:lang w:val="es-PR"/>
        </w:rPr>
        <w:t>ingresos tributan como ingreso ordinario y se informarán en el Anejo F. Parte VII, Columna C.</w:t>
      </w:r>
      <w:r w:rsidRPr="0085197F">
        <w:rPr>
          <w:rFonts w:ascii="Times New Roman" w:hAnsi="Times New Roman"/>
          <w:sz w:val="24"/>
          <w:szCs w:val="24"/>
          <w:lang w:val="es-PR"/>
        </w:rPr>
        <w:t xml:space="preserve"> Este ingreso se informará en el Anejo F, Parte VII, Columna C.</w:t>
      </w:r>
    </w:p>
    <w:p w:rsidR="00A46E43" w:rsidRDefault="008C12DC" w:rsidP="00A46E43">
      <w:pPr>
        <w:pStyle w:val="ListParagraph"/>
        <w:numPr>
          <w:ilvl w:val="0"/>
          <w:numId w:val="41"/>
        </w:numPr>
        <w:jc w:val="both"/>
        <w:rPr>
          <w:rFonts w:ascii="Times New Roman" w:hAnsi="Times New Roman"/>
          <w:b/>
          <w:sz w:val="24"/>
          <w:szCs w:val="24"/>
          <w:lang w:val="es-PR"/>
        </w:rPr>
      </w:pPr>
      <w:r w:rsidRPr="00A46E43">
        <w:rPr>
          <w:rFonts w:ascii="Times New Roman" w:hAnsi="Times New Roman"/>
          <w:b/>
          <w:sz w:val="24"/>
          <w:szCs w:val="24"/>
          <w:lang w:val="es-PR"/>
        </w:rPr>
        <w:t>Ingreso de equipo de béisbol de Grandes Ligas y Asociación Nacional de Baloncesto de los EE.UU.</w:t>
      </w:r>
    </w:p>
    <w:p w:rsidR="00A710B0" w:rsidRPr="00A710B0" w:rsidRDefault="008C12DC" w:rsidP="00A710B0">
      <w:pPr>
        <w:pStyle w:val="ListParagraph"/>
        <w:numPr>
          <w:ilvl w:val="1"/>
          <w:numId w:val="41"/>
        </w:numPr>
        <w:jc w:val="both"/>
        <w:rPr>
          <w:rFonts w:ascii="Times New Roman" w:hAnsi="Times New Roman"/>
          <w:b/>
          <w:sz w:val="24"/>
          <w:szCs w:val="24"/>
          <w:lang w:val="es-PR"/>
        </w:rPr>
      </w:pPr>
      <w:r w:rsidRPr="00A46E43">
        <w:rPr>
          <w:rFonts w:ascii="Times New Roman" w:hAnsi="Times New Roman"/>
          <w:sz w:val="24"/>
          <w:szCs w:val="24"/>
          <w:lang w:val="es-PR"/>
        </w:rPr>
        <w:t>Las cantidades recibidas de un equipo de beisbol de Grandes Ligas (</w:t>
      </w:r>
      <w:r w:rsidRPr="00A46E43">
        <w:rPr>
          <w:rFonts w:ascii="Times New Roman" w:hAnsi="Times New Roman"/>
          <w:i/>
          <w:sz w:val="24"/>
          <w:szCs w:val="24"/>
          <w:lang w:val="es-PR"/>
        </w:rPr>
        <w:t>Major League Baseball</w:t>
      </w:r>
      <w:r w:rsidRPr="00A46E43">
        <w:rPr>
          <w:rFonts w:ascii="Times New Roman" w:hAnsi="Times New Roman"/>
          <w:sz w:val="24"/>
          <w:szCs w:val="24"/>
          <w:lang w:val="es-PR"/>
        </w:rPr>
        <w:t>) o de un equipo de la Asociación Nacional de Baloncesto de los Estados Unidos (NBA), constituyen en ciertos casos, ingreso tributable y están sujetos a una retención en el origen del 20%. Si se acoge al cómputo opcional de la contribución (anejo CO) este ingreso se atribuirá de forma individual al cónyuge que le corresponda.</w:t>
      </w:r>
    </w:p>
    <w:p w:rsidR="007067F9" w:rsidRPr="007067F9" w:rsidRDefault="005061D5" w:rsidP="00A710B0">
      <w:pPr>
        <w:pStyle w:val="ListParagraph"/>
        <w:numPr>
          <w:ilvl w:val="1"/>
          <w:numId w:val="41"/>
        </w:numPr>
        <w:jc w:val="both"/>
        <w:rPr>
          <w:rFonts w:ascii="Times New Roman" w:hAnsi="Times New Roman"/>
          <w:b/>
          <w:sz w:val="24"/>
          <w:szCs w:val="24"/>
          <w:lang w:val="es-PR"/>
        </w:rPr>
      </w:pPr>
      <w:r w:rsidRPr="00A710B0">
        <w:rPr>
          <w:rFonts w:ascii="Times New Roman" w:hAnsi="Times New Roman"/>
          <w:sz w:val="24"/>
          <w:szCs w:val="24"/>
          <w:lang w:val="es-PR"/>
        </w:rPr>
        <w:t>Las cantidades recibidas por Ingreso de equipos de béisbol de Grandes Ligas y Asociación Nacional de Baloncesto de los EE.UU. serán informadas en el Formulario 480.6B: Declaración Informativa- Ingresos sujetos a retención.</w:t>
      </w:r>
      <w:r w:rsidR="007067F9" w:rsidRPr="007067F9">
        <w:rPr>
          <w:rFonts w:ascii="Times New Roman" w:hAnsi="Times New Roman"/>
          <w:sz w:val="24"/>
          <w:szCs w:val="24"/>
          <w:lang w:val="es-PR"/>
        </w:rPr>
        <w:t xml:space="preserve"> </w:t>
      </w:r>
    </w:p>
    <w:p w:rsidR="007067F9" w:rsidRDefault="007067F9" w:rsidP="007067F9">
      <w:pPr>
        <w:pStyle w:val="ListParagraph"/>
        <w:numPr>
          <w:ilvl w:val="0"/>
          <w:numId w:val="40"/>
        </w:numPr>
        <w:jc w:val="both"/>
        <w:rPr>
          <w:rFonts w:ascii="Times New Roman" w:hAnsi="Times New Roman"/>
          <w:sz w:val="24"/>
          <w:szCs w:val="24"/>
          <w:lang w:val="es-PR"/>
        </w:rPr>
      </w:pPr>
      <w:r w:rsidRPr="00A710B0">
        <w:rPr>
          <w:rFonts w:ascii="Times New Roman" w:hAnsi="Times New Roman"/>
          <w:sz w:val="24"/>
          <w:szCs w:val="24"/>
          <w:lang w:val="es-PR"/>
        </w:rPr>
        <w:t>Estos ingresos se informarán en el Anejo F, Parte VII, Columna D.</w:t>
      </w:r>
      <w:r>
        <w:rPr>
          <w:rFonts w:ascii="Times New Roman" w:hAnsi="Times New Roman"/>
          <w:sz w:val="24"/>
          <w:szCs w:val="24"/>
          <w:lang w:val="es-PR"/>
        </w:rPr>
        <w:t xml:space="preserve"> </w:t>
      </w:r>
      <w:r w:rsidRPr="00A710B0">
        <w:rPr>
          <w:rFonts w:ascii="Times New Roman" w:hAnsi="Times New Roman"/>
          <w:sz w:val="24"/>
          <w:szCs w:val="24"/>
          <w:lang w:val="es-PR"/>
        </w:rPr>
        <w:t>La contribución retenida se informa en el Anejo B Individuo, Parte III, línea 18.</w:t>
      </w:r>
      <w:r w:rsidRPr="007067F9">
        <w:rPr>
          <w:rFonts w:ascii="Times New Roman" w:hAnsi="Times New Roman"/>
          <w:sz w:val="24"/>
          <w:szCs w:val="24"/>
          <w:lang w:val="es-PR"/>
        </w:rPr>
        <w:t xml:space="preserve"> </w:t>
      </w:r>
    </w:p>
    <w:p w:rsidR="007067F9" w:rsidRPr="008C12DC" w:rsidRDefault="007067F9" w:rsidP="007067F9">
      <w:pPr>
        <w:pStyle w:val="ListParagraph"/>
        <w:numPr>
          <w:ilvl w:val="0"/>
          <w:numId w:val="40"/>
        </w:numPr>
        <w:jc w:val="both"/>
        <w:rPr>
          <w:rFonts w:ascii="Times New Roman" w:hAnsi="Times New Roman"/>
          <w:sz w:val="24"/>
          <w:szCs w:val="24"/>
          <w:lang w:val="es-PR"/>
        </w:rPr>
      </w:pPr>
      <w:r w:rsidRPr="008C12DC">
        <w:rPr>
          <w:rFonts w:ascii="Times New Roman" w:hAnsi="Times New Roman"/>
          <w:sz w:val="24"/>
          <w:szCs w:val="24"/>
          <w:lang w:val="es-PR"/>
        </w:rPr>
        <w:t>Si se acoge al cómputo opcional (Anejo C</w:t>
      </w:r>
      <w:r>
        <w:rPr>
          <w:rFonts w:ascii="Times New Roman" w:hAnsi="Times New Roman"/>
          <w:sz w:val="24"/>
          <w:szCs w:val="24"/>
          <w:lang w:val="es-PR"/>
        </w:rPr>
        <w:t>O</w:t>
      </w:r>
      <w:r w:rsidRPr="008C12DC">
        <w:rPr>
          <w:rFonts w:ascii="Times New Roman" w:hAnsi="Times New Roman"/>
          <w:sz w:val="24"/>
          <w:szCs w:val="24"/>
          <w:lang w:val="es-PR"/>
        </w:rPr>
        <w:t>) de la contribución, estos ingresos no detallados se atribuirán en partes iguales a cada cónyuge</w:t>
      </w:r>
      <w:r>
        <w:rPr>
          <w:rFonts w:ascii="Times New Roman" w:hAnsi="Times New Roman"/>
          <w:sz w:val="24"/>
          <w:szCs w:val="24"/>
          <w:lang w:val="es-PR"/>
        </w:rPr>
        <w:t>.</w:t>
      </w:r>
    </w:p>
    <w:p w:rsidR="00B15E58" w:rsidRDefault="00020FAA" w:rsidP="00020FAA">
      <w:pPr>
        <w:jc w:val="both"/>
        <w:rPr>
          <w:rFonts w:ascii="Times New Roman" w:hAnsi="Times New Roman"/>
          <w:b/>
          <w:sz w:val="24"/>
          <w:szCs w:val="24"/>
          <w:lang w:val="es-PR"/>
        </w:rPr>
      </w:pPr>
      <w:r>
        <w:rPr>
          <w:rFonts w:ascii="Times New Roman" w:hAnsi="Times New Roman"/>
          <w:b/>
          <w:noProof/>
          <w:sz w:val="24"/>
          <w:szCs w:val="24"/>
        </w:rPr>
        <w:drawing>
          <wp:inline distT="0" distB="0" distL="0" distR="0">
            <wp:extent cx="5941060" cy="2315210"/>
            <wp:effectExtent l="190500" t="152400" r="173990" b="142240"/>
            <wp:docPr id="5"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cstate="print"/>
                    <a:srcRect/>
                    <a:stretch>
                      <a:fillRect/>
                    </a:stretch>
                  </pic:blipFill>
                  <pic:spPr bwMode="auto">
                    <a:xfrm>
                      <a:off x="0" y="0"/>
                      <a:ext cx="5941060" cy="2315210"/>
                    </a:xfrm>
                    <a:prstGeom prst="rect">
                      <a:avLst/>
                    </a:prstGeom>
                    <a:ln>
                      <a:noFill/>
                    </a:ln>
                    <a:effectLst>
                      <a:outerShdw blurRad="190500" algn="tl" rotWithShape="0">
                        <a:srgbClr val="000000">
                          <a:alpha val="70000"/>
                        </a:srgbClr>
                      </a:outerShdw>
                    </a:effectLst>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6B7BC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38349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383494">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F672C" w:rsidRDefault="008D12EC"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3" w:history="1">
        <w:r w:rsidR="00CF672C">
          <w:rPr>
            <w:rStyle w:val="Hyperlink"/>
            <w:rFonts w:ascii="Times New Roman" w:hAnsi="Times New Roman"/>
            <w:sz w:val="24"/>
            <w:szCs w:val="24"/>
            <w:lang w:val="es-PR"/>
          </w:rPr>
          <w:t>Boletí</w:t>
        </w:r>
        <w:r w:rsidR="00CF672C" w:rsidRPr="00F34C71">
          <w:rPr>
            <w:rStyle w:val="Hyperlink"/>
            <w:rFonts w:ascii="Times New Roman" w:hAnsi="Times New Roman"/>
            <w:sz w:val="24"/>
            <w:szCs w:val="24"/>
            <w:lang w:val="es-PR"/>
          </w:rPr>
          <w:t>n Informativo 04-03 de 6 de agosto de 2004</w:t>
        </w:r>
      </w:hyperlink>
    </w:p>
    <w:p w:rsidR="00CF672C" w:rsidRDefault="008D12EC"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4" w:history="1">
        <w:r w:rsidR="00CF672C" w:rsidRPr="00B10B19">
          <w:rPr>
            <w:rStyle w:val="Hyperlink"/>
            <w:rFonts w:ascii="Times New Roman" w:hAnsi="Times New Roman"/>
            <w:sz w:val="24"/>
            <w:szCs w:val="24"/>
            <w:lang w:val="es-PR"/>
          </w:rPr>
          <w:t>Carta Circular 99-01 de 3 de marzo de 1998</w:t>
        </w:r>
      </w:hyperlink>
    </w:p>
    <w:p w:rsidR="00CF672C" w:rsidRPr="00786D35" w:rsidRDefault="008D12EC" w:rsidP="00CF672C">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hyperlink r:id="rId15" w:history="1">
        <w:r w:rsidR="00CF672C">
          <w:rPr>
            <w:rStyle w:val="Hyperlink"/>
            <w:rFonts w:ascii="Times New Roman" w:hAnsi="Times New Roman"/>
            <w:sz w:val="24"/>
            <w:szCs w:val="24"/>
            <w:lang w:val="es-PR"/>
          </w:rPr>
          <w:t>Có</w:t>
        </w:r>
        <w:r w:rsidR="00CF672C" w:rsidRPr="00786D35">
          <w:rPr>
            <w:rStyle w:val="Hyperlink"/>
            <w:rFonts w:ascii="Times New Roman" w:hAnsi="Times New Roman"/>
            <w:sz w:val="24"/>
            <w:szCs w:val="24"/>
            <w:lang w:val="es-PR"/>
          </w:rPr>
          <w:t>digo de Rentas Internas para un Nuevo Puert</w:t>
        </w:r>
        <w:r w:rsidR="00CF672C" w:rsidRPr="00786D35">
          <w:rPr>
            <w:rStyle w:val="Hyperlink"/>
            <w:rFonts w:ascii="Times New Roman" w:hAnsi="Times New Roman"/>
            <w:sz w:val="24"/>
            <w:szCs w:val="24"/>
            <w:lang w:val="es-PR"/>
          </w:rPr>
          <w:t>o Rico</w:t>
        </w:r>
      </w:hyperlink>
      <w:r w:rsidR="00CF672C" w:rsidRPr="00786D35">
        <w:rPr>
          <w:rFonts w:ascii="Times New Roman" w:hAnsi="Times New Roman"/>
          <w:color w:val="000000"/>
          <w:sz w:val="24"/>
          <w:szCs w:val="24"/>
          <w:lang w:val="es-PR"/>
        </w:rPr>
        <w:t xml:space="preserve"> </w:t>
      </w:r>
    </w:p>
    <w:p w:rsidR="00CF672C" w:rsidRDefault="008D12EC"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6" w:history="1">
        <w:r w:rsidR="00CF672C">
          <w:rPr>
            <w:rStyle w:val="Hyperlink"/>
            <w:rFonts w:ascii="Times New Roman" w:hAnsi="Times New Roman"/>
            <w:sz w:val="24"/>
            <w:szCs w:val="24"/>
            <w:lang w:val="es-PR"/>
          </w:rPr>
          <w:t>Determinació</w:t>
        </w:r>
        <w:r w:rsidR="00CF672C" w:rsidRPr="00CC46A4">
          <w:rPr>
            <w:rStyle w:val="Hyperlink"/>
            <w:rFonts w:ascii="Times New Roman" w:hAnsi="Times New Roman"/>
            <w:sz w:val="24"/>
            <w:szCs w:val="24"/>
            <w:lang w:val="es-PR"/>
          </w:rPr>
          <w:t>n Administrativa 05-02 de 10 de junio de 2005</w:t>
        </w:r>
      </w:hyperlink>
    </w:p>
    <w:p w:rsidR="00CF672C" w:rsidRDefault="008D12EC"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7" w:history="1">
        <w:r w:rsidR="00CF672C">
          <w:rPr>
            <w:rStyle w:val="Hyperlink"/>
            <w:rFonts w:ascii="Times New Roman" w:hAnsi="Times New Roman"/>
            <w:sz w:val="24"/>
            <w:szCs w:val="24"/>
            <w:lang w:val="es-PR"/>
          </w:rPr>
          <w:t>Determinación Administrativa 07-01 de 12 de enero de 2007</w:t>
        </w:r>
      </w:hyperlink>
    </w:p>
    <w:p w:rsidR="00CF672C" w:rsidRDefault="008D12EC"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8" w:history="1">
        <w:r w:rsidR="00CF672C">
          <w:rPr>
            <w:rStyle w:val="Hyperlink"/>
            <w:rFonts w:ascii="Times New Roman" w:hAnsi="Times New Roman"/>
            <w:sz w:val="24"/>
            <w:szCs w:val="24"/>
            <w:lang w:val="es-PR"/>
          </w:rPr>
          <w:t>Determinació</w:t>
        </w:r>
        <w:r w:rsidR="00CF672C" w:rsidRPr="00B10B19">
          <w:rPr>
            <w:rStyle w:val="Hyperlink"/>
            <w:rFonts w:ascii="Times New Roman" w:hAnsi="Times New Roman"/>
            <w:sz w:val="24"/>
            <w:szCs w:val="24"/>
            <w:lang w:val="es-PR"/>
          </w:rPr>
          <w:t>n Administrativa 08-04 de 22 de mayo de 2008</w:t>
        </w:r>
      </w:hyperlink>
    </w:p>
    <w:p w:rsidR="005061D5" w:rsidRDefault="005061D5"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Sección 1023.07 del Código de 2011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6B7BCE"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9"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383494"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w:t>
            </w:r>
            <w:r w:rsidR="00C81510" w:rsidRPr="00EA23AC">
              <w:rPr>
                <w:rFonts w:ascii="Times New Roman" w:eastAsiaTheme="minorHAnsi" w:hAnsi="Times New Roman"/>
                <w:b/>
                <w:sz w:val="28"/>
                <w:szCs w:val="28"/>
                <w:lang w:val="es-PR"/>
              </w:rPr>
              <w:t xml:space="preserve">étodos de </w:t>
            </w:r>
            <w:r>
              <w:rPr>
                <w:rFonts w:ascii="Times New Roman" w:eastAsiaTheme="minorHAnsi" w:hAnsi="Times New Roman"/>
                <w:b/>
                <w:sz w:val="28"/>
                <w:szCs w:val="28"/>
                <w:lang w:val="es-PR"/>
              </w:rPr>
              <w:t>p</w:t>
            </w:r>
            <w:r w:rsidR="00C81510" w:rsidRPr="00EA23AC">
              <w:rPr>
                <w:rFonts w:ascii="Times New Roman" w:eastAsiaTheme="minorHAnsi" w:hAnsi="Times New Roman"/>
                <w:b/>
                <w:sz w:val="28"/>
                <w:szCs w:val="28"/>
                <w:lang w:val="es-PR"/>
              </w:rPr>
              <w:t>ago</w:t>
            </w:r>
          </w:p>
        </w:tc>
      </w:tr>
    </w:tbl>
    <w:p w:rsidR="001E5F9F" w:rsidRPr="00EA23AC" w:rsidRDefault="00AC30FC"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6B7BC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20"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A85F76" w:rsidRDefault="00A85F76"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A85F76" w:rsidRPr="00B96F57" w:rsidRDefault="00A85F76" w:rsidP="00A85F76">
      <w:pPr>
        <w:pStyle w:val="ListParagraph"/>
        <w:shd w:val="clear" w:color="auto" w:fill="FFFFFF"/>
        <w:spacing w:before="120" w:after="120" w:line="240" w:lineRule="auto"/>
        <w:ind w:hanging="360"/>
        <w:rPr>
          <w:rFonts w:ascii="Times New Roman" w:hAnsi="Times New Roman"/>
          <w:color w:val="000000"/>
          <w:sz w:val="16"/>
          <w:szCs w:val="16"/>
          <w:lang w:val="es-PR"/>
        </w:rPr>
      </w:pPr>
    </w:p>
    <w:p w:rsidR="00A85F76" w:rsidRDefault="00A85F76"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A85F76" w:rsidRDefault="00A85F76" w:rsidP="00A85F76">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A85F76" w:rsidRPr="00B96F57" w:rsidRDefault="00A85F76" w:rsidP="00A85F76">
      <w:pPr>
        <w:pStyle w:val="ListParagraph"/>
        <w:shd w:val="clear" w:color="auto" w:fill="FFFFFF"/>
        <w:spacing w:before="120" w:after="120" w:line="240" w:lineRule="auto"/>
        <w:ind w:hanging="360"/>
        <w:rPr>
          <w:rFonts w:ascii="Times New Roman" w:hAnsi="Times New Roman"/>
          <w:color w:val="000000"/>
          <w:sz w:val="16"/>
          <w:szCs w:val="16"/>
          <w:lang w:val="es-PR"/>
        </w:rPr>
      </w:pPr>
    </w:p>
    <w:p w:rsidR="00A85F76" w:rsidRDefault="00A85F76"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A85F76" w:rsidRDefault="00A85F76" w:rsidP="00A85F76">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A85F76" w:rsidRDefault="00A85F76" w:rsidP="00A85F76">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A85F76" w:rsidRPr="00B96F57" w:rsidRDefault="00A85F76" w:rsidP="00A85F76">
      <w:pPr>
        <w:pStyle w:val="ListParagraph"/>
        <w:shd w:val="clear" w:color="auto" w:fill="FFFFFF"/>
        <w:spacing w:before="120" w:after="120" w:line="240" w:lineRule="auto"/>
        <w:ind w:hanging="360"/>
        <w:rPr>
          <w:rFonts w:ascii="Times New Roman" w:hAnsi="Times New Roman"/>
          <w:color w:val="000000"/>
          <w:sz w:val="16"/>
          <w:szCs w:val="16"/>
          <w:lang w:val="es-PR"/>
        </w:rPr>
      </w:pPr>
    </w:p>
    <w:p w:rsidR="00A85F76" w:rsidRDefault="00A85F76"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A85F76" w:rsidRPr="00B96F57" w:rsidRDefault="00A85F76" w:rsidP="00A85F76">
      <w:pPr>
        <w:pStyle w:val="ListParagraph"/>
        <w:shd w:val="clear" w:color="auto" w:fill="FFFFFF"/>
        <w:spacing w:before="120" w:after="120" w:line="240" w:lineRule="auto"/>
        <w:ind w:hanging="360"/>
        <w:rPr>
          <w:rFonts w:ascii="Times New Roman" w:hAnsi="Times New Roman"/>
          <w:color w:val="000000"/>
          <w:sz w:val="16"/>
          <w:szCs w:val="16"/>
          <w:lang w:val="es-PR"/>
        </w:rPr>
      </w:pPr>
    </w:p>
    <w:p w:rsidR="00A85F76" w:rsidRPr="001A0C2B" w:rsidRDefault="008D12EC"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21" w:history="1">
        <w:r w:rsidR="00383494">
          <w:rPr>
            <w:rStyle w:val="Hyperlink"/>
            <w:rFonts w:ascii="Times New Roman" w:hAnsi="Times New Roman"/>
            <w:sz w:val="24"/>
            <w:lang w:val="es-PR"/>
          </w:rPr>
          <w:t xml:space="preserve">Directorio de </w:t>
        </w:r>
        <w:r w:rsidR="00CF672C">
          <w:rPr>
            <w:rStyle w:val="Hyperlink"/>
            <w:rFonts w:ascii="Times New Roman" w:hAnsi="Times New Roman"/>
            <w:sz w:val="24"/>
            <w:lang w:val="es-PR"/>
          </w:rPr>
          <w:t>Colecturí</w:t>
        </w:r>
        <w:r w:rsidR="00CF672C" w:rsidRPr="001A0C2B">
          <w:rPr>
            <w:rStyle w:val="Hyperlink"/>
            <w:rFonts w:ascii="Times New Roman" w:hAnsi="Times New Roman"/>
            <w:sz w:val="24"/>
            <w:lang w:val="es-PR"/>
          </w:rPr>
          <w:t>a</w:t>
        </w:r>
      </w:hyperlink>
    </w:p>
    <w:p w:rsidR="00A85F76" w:rsidRPr="001A0C2B" w:rsidRDefault="008D12EC"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22" w:history="1">
        <w:r w:rsidR="00A85F76" w:rsidRPr="001A0C2B">
          <w:rPr>
            <w:rStyle w:val="Hyperlink"/>
            <w:rFonts w:ascii="Times New Roman" w:hAnsi="Times New Roman"/>
            <w:sz w:val="24"/>
            <w:lang w:val="es-PR"/>
          </w:rPr>
          <w:t>Directorio de Distritos de Cobro</w:t>
        </w:r>
      </w:hyperlink>
    </w:p>
    <w:p w:rsidR="00A85F76" w:rsidRPr="001A0C2B" w:rsidRDefault="008D12EC"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23" w:history="1">
        <w:r w:rsidR="00A85F76" w:rsidRPr="001A0C2B">
          <w:rPr>
            <w:rStyle w:val="Hyperlink"/>
            <w:rFonts w:ascii="Times New Roman" w:hAnsi="Times New Roman"/>
            <w:sz w:val="24"/>
            <w:lang w:val="es-PR"/>
          </w:rPr>
          <w:t>Directorio de Centros de Servicio</w:t>
        </w:r>
      </w:hyperlink>
    </w:p>
    <w:p w:rsidR="00A85F76" w:rsidRPr="00FE445C" w:rsidRDefault="008D12EC"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24" w:history="1">
        <w:r w:rsidR="00A85F76"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7067F9" w:rsidRDefault="007067F9" w:rsidP="007067F9">
      <w:pPr>
        <w:pStyle w:val="ListParagraph"/>
        <w:numPr>
          <w:ilvl w:val="0"/>
          <w:numId w:val="34"/>
        </w:numPr>
        <w:jc w:val="both"/>
        <w:rPr>
          <w:rFonts w:ascii="Times New Roman" w:hAnsi="Times New Roman"/>
          <w:sz w:val="24"/>
          <w:szCs w:val="24"/>
          <w:u w:val="single"/>
          <w:lang w:val="es-PR"/>
        </w:rPr>
      </w:pPr>
      <w:r w:rsidRPr="00A85F76">
        <w:rPr>
          <w:rFonts w:ascii="Times New Roman" w:hAnsi="Times New Roman"/>
          <w:sz w:val="24"/>
          <w:szCs w:val="24"/>
          <w:u w:val="single"/>
          <w:lang w:val="es-PR"/>
        </w:rPr>
        <w:t>Anejo B Individuo: Recobro de Créditos Reclamados en Exceso, Créditos Contributivos, y Otros Pagos y Retenciones</w:t>
      </w:r>
    </w:p>
    <w:p w:rsidR="007067F9" w:rsidRPr="00A85F76" w:rsidRDefault="007067F9" w:rsidP="007067F9">
      <w:pPr>
        <w:pStyle w:val="ListParagraph"/>
        <w:numPr>
          <w:ilvl w:val="0"/>
          <w:numId w:val="34"/>
        </w:numPr>
        <w:jc w:val="both"/>
        <w:rPr>
          <w:rFonts w:ascii="Times New Roman" w:hAnsi="Times New Roman"/>
          <w:sz w:val="24"/>
          <w:szCs w:val="24"/>
          <w:u w:val="single"/>
          <w:lang w:val="es-PR"/>
        </w:rPr>
      </w:pPr>
      <w:r>
        <w:rPr>
          <w:rFonts w:ascii="Times New Roman" w:hAnsi="Times New Roman"/>
          <w:sz w:val="24"/>
          <w:szCs w:val="24"/>
          <w:u w:val="single"/>
          <w:lang w:val="es-PR"/>
        </w:rPr>
        <w:t>Anejo CO: Cómputo Opcional de la Contribución</w:t>
      </w:r>
    </w:p>
    <w:p w:rsidR="007067F9" w:rsidRPr="00A85F76" w:rsidRDefault="007067F9" w:rsidP="007067F9">
      <w:pPr>
        <w:pStyle w:val="ListParagraph"/>
        <w:numPr>
          <w:ilvl w:val="0"/>
          <w:numId w:val="34"/>
        </w:numPr>
        <w:jc w:val="both"/>
        <w:rPr>
          <w:rFonts w:ascii="Times New Roman" w:hAnsi="Times New Roman"/>
          <w:sz w:val="24"/>
          <w:szCs w:val="24"/>
          <w:u w:val="single"/>
          <w:lang w:val="es-PR"/>
        </w:rPr>
      </w:pPr>
      <w:r w:rsidRPr="00A85F76">
        <w:rPr>
          <w:rFonts w:ascii="Times New Roman" w:hAnsi="Times New Roman"/>
          <w:sz w:val="24"/>
          <w:szCs w:val="24"/>
          <w:u w:val="single"/>
          <w:lang w:val="es-PR"/>
        </w:rPr>
        <w:t>Anejo F Individuo: Otros Intereses</w:t>
      </w:r>
    </w:p>
    <w:p w:rsidR="007067F9" w:rsidRPr="00B15E58" w:rsidRDefault="008D12EC" w:rsidP="007067F9">
      <w:pPr>
        <w:pStyle w:val="ListParagraph"/>
        <w:numPr>
          <w:ilvl w:val="0"/>
          <w:numId w:val="34"/>
        </w:numPr>
        <w:spacing w:before="120" w:after="120" w:line="240" w:lineRule="auto"/>
        <w:jc w:val="both"/>
        <w:rPr>
          <w:rFonts w:ascii="Times New Roman" w:hAnsi="Times New Roman"/>
          <w:sz w:val="24"/>
          <w:szCs w:val="24"/>
          <w:lang w:val="es-PR"/>
        </w:rPr>
      </w:pPr>
      <w:hyperlink r:id="rId26" w:history="1">
        <w:r w:rsidR="007067F9">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19708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7067F9" w:rsidRPr="00013FC9" w:rsidRDefault="007067F9" w:rsidP="007067F9">
      <w:pPr>
        <w:pStyle w:val="ListParagraph"/>
        <w:numPr>
          <w:ilvl w:val="0"/>
          <w:numId w:val="44"/>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CF672C">
      <w:headerReference w:type="even" r:id="rId28"/>
      <w:headerReference w:type="default" r:id="rId29"/>
      <w:footerReference w:type="even" r:id="rId30"/>
      <w:footerReference w:type="default" r:id="rId31"/>
      <w:headerReference w:type="first" r:id="rId32"/>
      <w:footerReference w:type="first" r:id="rId33"/>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8F" w:rsidRDefault="009E268F" w:rsidP="005501A9">
      <w:pPr>
        <w:spacing w:after="0" w:line="240" w:lineRule="auto"/>
      </w:pPr>
      <w:r>
        <w:separator/>
      </w:r>
    </w:p>
  </w:endnote>
  <w:endnote w:type="continuationSeparator" w:id="0">
    <w:p w:rsidR="009E268F" w:rsidRDefault="009E268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4" w:rsidRDefault="00F80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164505" w:rsidRPr="006B7BCE" w:rsidTr="00164505">
      <w:tc>
        <w:tcPr>
          <w:tcW w:w="918" w:type="dxa"/>
          <w:tcBorders>
            <w:top w:val="single" w:sz="18" w:space="0" w:color="808080" w:themeColor="background1" w:themeShade="80"/>
            <w:left w:val="nil"/>
            <w:bottom w:val="nil"/>
            <w:right w:val="single" w:sz="18" w:space="0" w:color="808080" w:themeColor="background1" w:themeShade="80"/>
          </w:tcBorders>
          <w:hideMark/>
        </w:tcPr>
        <w:p w:rsidR="00164505" w:rsidRDefault="00164505">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8D12EC" w:rsidRPr="008B29D5">
            <w:rPr>
              <w:rFonts w:ascii="Times New Roman" w:hAnsi="Times New Roman"/>
              <w:sz w:val="24"/>
              <w:szCs w:val="24"/>
            </w:rPr>
            <w:fldChar w:fldCharType="begin"/>
          </w:r>
          <w:r w:rsidRPr="008B29D5">
            <w:rPr>
              <w:rFonts w:ascii="Times New Roman" w:hAnsi="Times New Roman"/>
              <w:sz w:val="24"/>
              <w:szCs w:val="24"/>
            </w:rPr>
            <w:instrText xml:space="preserve"> PAGE   \* MERGEFORMAT </w:instrText>
          </w:r>
          <w:r w:rsidR="008D12EC" w:rsidRPr="008B29D5">
            <w:rPr>
              <w:rFonts w:ascii="Times New Roman" w:hAnsi="Times New Roman"/>
              <w:sz w:val="24"/>
              <w:szCs w:val="24"/>
            </w:rPr>
            <w:fldChar w:fldCharType="separate"/>
          </w:r>
          <w:r w:rsidR="00F80404" w:rsidRPr="00F80404">
            <w:rPr>
              <w:rFonts w:ascii="Times New Roman" w:hAnsi="Times New Roman"/>
              <w:b/>
              <w:noProof/>
              <w:sz w:val="24"/>
              <w:szCs w:val="24"/>
            </w:rPr>
            <w:t>1</w:t>
          </w:r>
          <w:r w:rsidR="008D12EC" w:rsidRPr="008B29D5">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164505" w:rsidRDefault="00164505">
          <w:pPr>
            <w:pStyle w:val="Footer"/>
            <w:jc w:val="center"/>
            <w:rPr>
              <w:rFonts w:ascii="Times New Roman" w:hAnsi="Times New Roman"/>
              <w:lang w:val="es-PR"/>
            </w:rPr>
          </w:pPr>
        </w:p>
        <w:p w:rsidR="00164505" w:rsidRDefault="00164505">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164505" w:rsidRDefault="00164505">
          <w:pPr>
            <w:pStyle w:val="Footer"/>
            <w:jc w:val="center"/>
            <w:rPr>
              <w:rFonts w:ascii="Times New Roman" w:hAnsi="Times New Roman"/>
              <w:sz w:val="16"/>
              <w:szCs w:val="16"/>
              <w:lang w:val="es-PR"/>
            </w:rPr>
          </w:pPr>
        </w:p>
        <w:p w:rsidR="00164505" w:rsidRDefault="00164505">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164505" w:rsidRDefault="00164505" w:rsidP="00164505">
    <w:pPr>
      <w:rPr>
        <w:rFonts w:ascii="Times New Roman" w:hAnsi="Times New Roman"/>
        <w:lang w:val="es-PR"/>
      </w:rPr>
    </w:pPr>
  </w:p>
  <w:p w:rsidR="00CF03B8" w:rsidRPr="00383494" w:rsidRDefault="00CF03B8" w:rsidP="00164505">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4" w:rsidRDefault="00F80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8F" w:rsidRDefault="009E268F" w:rsidP="005501A9">
      <w:pPr>
        <w:spacing w:after="0" w:line="240" w:lineRule="auto"/>
      </w:pPr>
      <w:r>
        <w:separator/>
      </w:r>
    </w:p>
  </w:footnote>
  <w:footnote w:type="continuationSeparator" w:id="0">
    <w:p w:rsidR="009E268F" w:rsidRDefault="009E268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4" w:rsidRDefault="00F80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7067F9" w:rsidRPr="008B29D5" w:rsidTr="004E268B">
      <w:trPr>
        <w:trHeight w:val="288"/>
      </w:trPr>
      <w:tc>
        <w:tcPr>
          <w:tcW w:w="8395" w:type="dxa"/>
        </w:tcPr>
        <w:p w:rsidR="007067F9" w:rsidRDefault="007067F9" w:rsidP="004E268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7067F9" w:rsidRPr="006B7BCE" w:rsidRDefault="007067F9" w:rsidP="004E268B">
          <w:pPr>
            <w:tabs>
              <w:tab w:val="left" w:pos="4680"/>
            </w:tabs>
            <w:spacing w:after="0" w:line="240" w:lineRule="auto"/>
            <w:ind w:right="-90"/>
            <w:rPr>
              <w:rFonts w:ascii="Times New Roman" w:hAnsi="Times New Roman"/>
              <w:sz w:val="32"/>
              <w:szCs w:val="32"/>
              <w:lang w:val="es-PR"/>
            </w:rPr>
          </w:pPr>
          <w:r w:rsidRPr="006B7BCE">
            <w:rPr>
              <w:rFonts w:ascii="Times New Roman" w:hAnsi="Times New Roman"/>
              <w:sz w:val="32"/>
              <w:szCs w:val="32"/>
              <w:lang w:val="es-PR"/>
            </w:rPr>
            <w:t>Área de Política Contributiva</w:t>
          </w:r>
          <w:r w:rsidRPr="006B7BCE">
            <w:rPr>
              <w:rFonts w:ascii="Times New Roman" w:hAnsi="Times New Roman"/>
              <w:sz w:val="32"/>
              <w:szCs w:val="32"/>
              <w:lang w:val="es-PR"/>
            </w:rPr>
            <w:tab/>
          </w:r>
        </w:p>
        <w:p w:rsidR="007067F9" w:rsidRPr="00446DFA" w:rsidRDefault="007067F9" w:rsidP="004E268B">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7067F9" w:rsidRPr="004C743D" w:rsidRDefault="006B7BCE" w:rsidP="006B7BCE">
          <w:pPr>
            <w:tabs>
              <w:tab w:val="center" w:pos="4082"/>
            </w:tabs>
            <w:spacing w:after="0" w:line="240" w:lineRule="auto"/>
            <w:rPr>
              <w:rFonts w:ascii="Times New Roman" w:hAnsi="Times New Roman"/>
              <w:b/>
              <w:sz w:val="28"/>
              <w:szCs w:val="28"/>
              <w:lang w:val="es-PR"/>
            </w:rPr>
          </w:pPr>
          <w:r>
            <w:rPr>
              <w:rFonts w:ascii="Times New Roman" w:hAnsi="Times New Roman"/>
              <w:b/>
              <w:sz w:val="28"/>
              <w:szCs w:val="28"/>
              <w:lang w:val="es-PR"/>
            </w:rPr>
            <w:t>Ingresos miscelá</w:t>
          </w:r>
          <w:r w:rsidR="007067F9">
            <w:rPr>
              <w:rFonts w:ascii="Times New Roman" w:hAnsi="Times New Roman"/>
              <w:b/>
              <w:sz w:val="28"/>
              <w:szCs w:val="28"/>
              <w:lang w:val="es-PR"/>
            </w:rPr>
            <w:t>neos</w:t>
          </w:r>
          <w:r>
            <w:rPr>
              <w:rFonts w:ascii="Times New Roman" w:hAnsi="Times New Roman"/>
              <w:b/>
              <w:sz w:val="28"/>
              <w:szCs w:val="28"/>
              <w:lang w:val="es-PR"/>
            </w:rPr>
            <w:t xml:space="preserve"> (Anejo F)</w:t>
          </w:r>
          <w:r>
            <w:rPr>
              <w:rFonts w:ascii="Times New Roman" w:hAnsi="Times New Roman"/>
              <w:b/>
              <w:sz w:val="28"/>
              <w:szCs w:val="28"/>
              <w:lang w:val="es-PR"/>
            </w:rPr>
            <w:tab/>
          </w:r>
        </w:p>
      </w:tc>
      <w:tc>
        <w:tcPr>
          <w:tcW w:w="1195" w:type="dxa"/>
        </w:tcPr>
        <w:p w:rsidR="007067F9" w:rsidRPr="00D049E5" w:rsidRDefault="008D12EC" w:rsidP="004E268B">
          <w:pPr>
            <w:pStyle w:val="Header"/>
            <w:rPr>
              <w:rFonts w:asciiTheme="majorHAnsi" w:eastAsiaTheme="majorEastAsia" w:hAnsiTheme="majorHAnsi" w:cstheme="majorBidi"/>
              <w:b/>
              <w:bCs/>
              <w:color w:val="4F81BD" w:themeColor="accent1"/>
              <w:sz w:val="36"/>
              <w:szCs w:val="36"/>
              <w:lang w:val="es-PR"/>
            </w:rPr>
          </w:pPr>
          <w:r w:rsidRPr="008D12EC">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9.15pt;width:83.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7067F9" w:rsidRPr="00446DFA" w:rsidRDefault="007067F9" w:rsidP="007067F9">
                      <w:pPr>
                        <w:spacing w:after="0" w:line="240" w:lineRule="auto"/>
                        <w:jc w:val="center"/>
                        <w:rPr>
                          <w:rFonts w:ascii="Times New Roman" w:hAnsi="Times New Roman"/>
                          <w:sz w:val="16"/>
                          <w:szCs w:val="16"/>
                          <w:lang w:val="es-PR"/>
                        </w:rPr>
                      </w:pPr>
                      <w:r>
                        <w:rPr>
                          <w:rFonts w:ascii="Times New Roman" w:hAnsi="Times New Roman"/>
                          <w:sz w:val="16"/>
                          <w:szCs w:val="16"/>
                          <w:lang w:val="es-PR"/>
                        </w:rPr>
                        <w:t>DAC-029</w:t>
                      </w:r>
                    </w:p>
                    <w:p w:rsidR="007067F9" w:rsidRPr="002608D6" w:rsidRDefault="006B7BCE" w:rsidP="007067F9">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7067F9" w:rsidRPr="00446DFA">
                        <w:rPr>
                          <w:rFonts w:ascii="Times New Roman" w:hAnsi="Times New Roman"/>
                          <w:sz w:val="16"/>
                          <w:szCs w:val="16"/>
                          <w:lang w:val="es-PR"/>
                        </w:rPr>
                        <w:t>-15</w:t>
                      </w:r>
                    </w:p>
                  </w:txbxContent>
                </v:textbox>
              </v:shape>
            </w:pict>
          </w:r>
        </w:p>
      </w:tc>
    </w:tr>
  </w:tbl>
  <w:p w:rsidR="00CF03B8" w:rsidRPr="007067F9" w:rsidRDefault="00CF03B8" w:rsidP="007067F9">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4" w:rsidRDefault="00F80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CC91F39"/>
    <w:multiLevelType w:val="hybridMultilevel"/>
    <w:tmpl w:val="58DA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2">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3AE10C0C"/>
    <w:multiLevelType w:val="hybridMultilevel"/>
    <w:tmpl w:val="BA3888C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DDB3DD7"/>
    <w:multiLevelType w:val="hybridMultilevel"/>
    <w:tmpl w:val="E618E128"/>
    <w:lvl w:ilvl="0" w:tplc="E702F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4F408F5"/>
    <w:multiLevelType w:val="hybridMultilevel"/>
    <w:tmpl w:val="3AC2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6C097218"/>
    <w:multiLevelType w:val="hybridMultilevel"/>
    <w:tmpl w:val="94EE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8">
    <w:nsid w:val="6D605716"/>
    <w:multiLevelType w:val="hybridMultilevel"/>
    <w:tmpl w:val="04C68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7303B"/>
    <w:multiLevelType w:val="hybridMultilevel"/>
    <w:tmpl w:val="72024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C87E92"/>
    <w:multiLevelType w:val="hybridMultilevel"/>
    <w:tmpl w:val="9C24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B04F5"/>
    <w:multiLevelType w:val="hybridMultilevel"/>
    <w:tmpl w:val="EACE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3"/>
  </w:num>
  <w:num w:numId="3">
    <w:abstractNumId w:val="34"/>
  </w:num>
  <w:num w:numId="4">
    <w:abstractNumId w:val="43"/>
  </w:num>
  <w:num w:numId="5">
    <w:abstractNumId w:val="22"/>
  </w:num>
  <w:num w:numId="6">
    <w:abstractNumId w:val="17"/>
  </w:num>
  <w:num w:numId="7">
    <w:abstractNumId w:val="28"/>
  </w:num>
  <w:num w:numId="8">
    <w:abstractNumId w:val="13"/>
  </w:num>
  <w:num w:numId="9">
    <w:abstractNumId w:val="31"/>
  </w:num>
  <w:num w:numId="10">
    <w:abstractNumId w:val="12"/>
  </w:num>
  <w:num w:numId="11">
    <w:abstractNumId w:val="1"/>
  </w:num>
  <w:num w:numId="12">
    <w:abstractNumId w:val="40"/>
  </w:num>
  <w:num w:numId="13">
    <w:abstractNumId w:val="4"/>
  </w:num>
  <w:num w:numId="14">
    <w:abstractNumId w:val="32"/>
  </w:num>
  <w:num w:numId="15">
    <w:abstractNumId w:val="9"/>
  </w:num>
  <w:num w:numId="16">
    <w:abstractNumId w:val="25"/>
  </w:num>
  <w:num w:numId="17">
    <w:abstractNumId w:val="6"/>
  </w:num>
  <w:num w:numId="18">
    <w:abstractNumId w:val="30"/>
  </w:num>
  <w:num w:numId="19">
    <w:abstractNumId w:val="18"/>
  </w:num>
  <w:num w:numId="20">
    <w:abstractNumId w:val="29"/>
  </w:num>
  <w:num w:numId="21">
    <w:abstractNumId w:val="14"/>
  </w:num>
  <w:num w:numId="22">
    <w:abstractNumId w:val="2"/>
  </w:num>
  <w:num w:numId="23">
    <w:abstractNumId w:val="35"/>
  </w:num>
  <w:num w:numId="24">
    <w:abstractNumId w:val="37"/>
  </w:num>
  <w:num w:numId="25">
    <w:abstractNumId w:val="11"/>
  </w:num>
  <w:num w:numId="26">
    <w:abstractNumId w:val="0"/>
  </w:num>
  <w:num w:numId="27">
    <w:abstractNumId w:val="24"/>
  </w:num>
  <w:num w:numId="28">
    <w:abstractNumId w:val="21"/>
  </w:num>
  <w:num w:numId="29">
    <w:abstractNumId w:val="19"/>
  </w:num>
  <w:num w:numId="30">
    <w:abstractNumId w:val="26"/>
  </w:num>
  <w:num w:numId="31">
    <w:abstractNumId w:val="5"/>
  </w:num>
  <w:num w:numId="32">
    <w:abstractNumId w:val="23"/>
  </w:num>
  <w:num w:numId="33">
    <w:abstractNumId w:val="7"/>
  </w:num>
  <w:num w:numId="34">
    <w:abstractNumId w:val="42"/>
  </w:num>
  <w:num w:numId="35">
    <w:abstractNumId w:val="41"/>
  </w:num>
  <w:num w:numId="36">
    <w:abstractNumId w:val="16"/>
  </w:num>
  <w:num w:numId="37">
    <w:abstractNumId w:val="38"/>
  </w:num>
  <w:num w:numId="38">
    <w:abstractNumId w:val="3"/>
  </w:num>
  <w:num w:numId="39">
    <w:abstractNumId w:val="39"/>
  </w:num>
  <w:num w:numId="40">
    <w:abstractNumId w:val="36"/>
  </w:num>
  <w:num w:numId="41">
    <w:abstractNumId w:val="20"/>
  </w:num>
  <w:num w:numId="42">
    <w:abstractNumId w:val="15"/>
  </w:num>
  <w:num w:numId="43">
    <w:abstractNumId w:val="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06433"/>
    <w:rsid w:val="000103CD"/>
    <w:rsid w:val="00020FAA"/>
    <w:rsid w:val="00021BB5"/>
    <w:rsid w:val="00022098"/>
    <w:rsid w:val="00023B00"/>
    <w:rsid w:val="00031913"/>
    <w:rsid w:val="00032898"/>
    <w:rsid w:val="00032D48"/>
    <w:rsid w:val="00033B6E"/>
    <w:rsid w:val="00035A7B"/>
    <w:rsid w:val="00037674"/>
    <w:rsid w:val="000458BF"/>
    <w:rsid w:val="000517CD"/>
    <w:rsid w:val="0005534A"/>
    <w:rsid w:val="00057000"/>
    <w:rsid w:val="000631D4"/>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4CFA"/>
    <w:rsid w:val="000A6877"/>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4E6B"/>
    <w:rsid w:val="0014766A"/>
    <w:rsid w:val="00162D4A"/>
    <w:rsid w:val="00164505"/>
    <w:rsid w:val="0016664C"/>
    <w:rsid w:val="00173985"/>
    <w:rsid w:val="00174283"/>
    <w:rsid w:val="00175C1F"/>
    <w:rsid w:val="00181A79"/>
    <w:rsid w:val="00182153"/>
    <w:rsid w:val="00185F44"/>
    <w:rsid w:val="001860B9"/>
    <w:rsid w:val="00191D71"/>
    <w:rsid w:val="00194922"/>
    <w:rsid w:val="00197084"/>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78F4"/>
    <w:rsid w:val="002213A5"/>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0307"/>
    <w:rsid w:val="00285FF6"/>
    <w:rsid w:val="002908E3"/>
    <w:rsid w:val="002A31E6"/>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4199"/>
    <w:rsid w:val="0033701A"/>
    <w:rsid w:val="00344E42"/>
    <w:rsid w:val="0035447D"/>
    <w:rsid w:val="003556DB"/>
    <w:rsid w:val="00362B7B"/>
    <w:rsid w:val="0036675A"/>
    <w:rsid w:val="00370141"/>
    <w:rsid w:val="00383494"/>
    <w:rsid w:val="00393F9D"/>
    <w:rsid w:val="003950A0"/>
    <w:rsid w:val="00396926"/>
    <w:rsid w:val="003A20CF"/>
    <w:rsid w:val="003A44BE"/>
    <w:rsid w:val="003A7310"/>
    <w:rsid w:val="003B4575"/>
    <w:rsid w:val="003C6015"/>
    <w:rsid w:val="003E0674"/>
    <w:rsid w:val="003E3CF4"/>
    <w:rsid w:val="003F0271"/>
    <w:rsid w:val="003F6F56"/>
    <w:rsid w:val="003F7B76"/>
    <w:rsid w:val="003F7EF4"/>
    <w:rsid w:val="004012B7"/>
    <w:rsid w:val="004012CC"/>
    <w:rsid w:val="00406783"/>
    <w:rsid w:val="00412C48"/>
    <w:rsid w:val="00413343"/>
    <w:rsid w:val="004241F6"/>
    <w:rsid w:val="0043005F"/>
    <w:rsid w:val="00434497"/>
    <w:rsid w:val="00445105"/>
    <w:rsid w:val="004529FC"/>
    <w:rsid w:val="004548F1"/>
    <w:rsid w:val="004557B1"/>
    <w:rsid w:val="00456683"/>
    <w:rsid w:val="004651BE"/>
    <w:rsid w:val="0047186A"/>
    <w:rsid w:val="00475E45"/>
    <w:rsid w:val="00476F59"/>
    <w:rsid w:val="004842B9"/>
    <w:rsid w:val="004847E5"/>
    <w:rsid w:val="0049324C"/>
    <w:rsid w:val="004979AF"/>
    <w:rsid w:val="00497B37"/>
    <w:rsid w:val="004A04AB"/>
    <w:rsid w:val="004A5AAE"/>
    <w:rsid w:val="004C2D1D"/>
    <w:rsid w:val="004D1C16"/>
    <w:rsid w:val="004D2A32"/>
    <w:rsid w:val="004D33BF"/>
    <w:rsid w:val="004D415A"/>
    <w:rsid w:val="004E0DAC"/>
    <w:rsid w:val="004E1CC2"/>
    <w:rsid w:val="004F1258"/>
    <w:rsid w:val="004F4209"/>
    <w:rsid w:val="00500FDD"/>
    <w:rsid w:val="00506097"/>
    <w:rsid w:val="005061D5"/>
    <w:rsid w:val="005115C4"/>
    <w:rsid w:val="005241A9"/>
    <w:rsid w:val="00527066"/>
    <w:rsid w:val="00532C7E"/>
    <w:rsid w:val="00532CF3"/>
    <w:rsid w:val="00537AFD"/>
    <w:rsid w:val="005420A8"/>
    <w:rsid w:val="00543302"/>
    <w:rsid w:val="00544149"/>
    <w:rsid w:val="005448F7"/>
    <w:rsid w:val="005501A9"/>
    <w:rsid w:val="005515A2"/>
    <w:rsid w:val="00551C52"/>
    <w:rsid w:val="005556A2"/>
    <w:rsid w:val="005563C1"/>
    <w:rsid w:val="00556A00"/>
    <w:rsid w:val="00557367"/>
    <w:rsid w:val="00576109"/>
    <w:rsid w:val="0058498C"/>
    <w:rsid w:val="00590F9C"/>
    <w:rsid w:val="00591CEE"/>
    <w:rsid w:val="005B0EA6"/>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46A52"/>
    <w:rsid w:val="00655D34"/>
    <w:rsid w:val="00655E15"/>
    <w:rsid w:val="0066535D"/>
    <w:rsid w:val="00667D45"/>
    <w:rsid w:val="006722F6"/>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BCE"/>
    <w:rsid w:val="006B7DFA"/>
    <w:rsid w:val="006C1662"/>
    <w:rsid w:val="006C50A0"/>
    <w:rsid w:val="006C6588"/>
    <w:rsid w:val="006C6B39"/>
    <w:rsid w:val="006E3049"/>
    <w:rsid w:val="006E374E"/>
    <w:rsid w:val="006F0C66"/>
    <w:rsid w:val="006F359E"/>
    <w:rsid w:val="00701FC2"/>
    <w:rsid w:val="007067F9"/>
    <w:rsid w:val="00706AE9"/>
    <w:rsid w:val="00722794"/>
    <w:rsid w:val="00726CF4"/>
    <w:rsid w:val="007271F4"/>
    <w:rsid w:val="0073482C"/>
    <w:rsid w:val="00735FB7"/>
    <w:rsid w:val="007415A2"/>
    <w:rsid w:val="0074728C"/>
    <w:rsid w:val="0075549C"/>
    <w:rsid w:val="0076116F"/>
    <w:rsid w:val="00781E56"/>
    <w:rsid w:val="00790A6E"/>
    <w:rsid w:val="00793C85"/>
    <w:rsid w:val="0079658A"/>
    <w:rsid w:val="007B1C6B"/>
    <w:rsid w:val="007B3534"/>
    <w:rsid w:val="007B4C53"/>
    <w:rsid w:val="007C089B"/>
    <w:rsid w:val="007C4C59"/>
    <w:rsid w:val="007C795B"/>
    <w:rsid w:val="007C7FD1"/>
    <w:rsid w:val="007D07C4"/>
    <w:rsid w:val="007E1921"/>
    <w:rsid w:val="007E319D"/>
    <w:rsid w:val="007F0041"/>
    <w:rsid w:val="007F6C93"/>
    <w:rsid w:val="007F7A59"/>
    <w:rsid w:val="00803E1E"/>
    <w:rsid w:val="00807397"/>
    <w:rsid w:val="00815B23"/>
    <w:rsid w:val="00817C0C"/>
    <w:rsid w:val="00824CB0"/>
    <w:rsid w:val="00832CC3"/>
    <w:rsid w:val="00841D9E"/>
    <w:rsid w:val="0085197F"/>
    <w:rsid w:val="008542CD"/>
    <w:rsid w:val="00856C77"/>
    <w:rsid w:val="008766CF"/>
    <w:rsid w:val="00877A45"/>
    <w:rsid w:val="008947B8"/>
    <w:rsid w:val="008A0367"/>
    <w:rsid w:val="008B29D5"/>
    <w:rsid w:val="008B7F12"/>
    <w:rsid w:val="008C12DC"/>
    <w:rsid w:val="008C29E6"/>
    <w:rsid w:val="008C2C2D"/>
    <w:rsid w:val="008C479E"/>
    <w:rsid w:val="008D12EC"/>
    <w:rsid w:val="008D7915"/>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559D"/>
    <w:rsid w:val="00983F08"/>
    <w:rsid w:val="009A05FF"/>
    <w:rsid w:val="009A1E26"/>
    <w:rsid w:val="009B26E4"/>
    <w:rsid w:val="009B2C9B"/>
    <w:rsid w:val="009C3BD1"/>
    <w:rsid w:val="009D5454"/>
    <w:rsid w:val="009E10B3"/>
    <w:rsid w:val="009E268F"/>
    <w:rsid w:val="009E6F83"/>
    <w:rsid w:val="009F3A9D"/>
    <w:rsid w:val="009F4507"/>
    <w:rsid w:val="00A03578"/>
    <w:rsid w:val="00A05433"/>
    <w:rsid w:val="00A132E2"/>
    <w:rsid w:val="00A15EFF"/>
    <w:rsid w:val="00A1637F"/>
    <w:rsid w:val="00A22135"/>
    <w:rsid w:val="00A25135"/>
    <w:rsid w:val="00A26F7F"/>
    <w:rsid w:val="00A271A0"/>
    <w:rsid w:val="00A46E43"/>
    <w:rsid w:val="00A5086B"/>
    <w:rsid w:val="00A5492B"/>
    <w:rsid w:val="00A60B6E"/>
    <w:rsid w:val="00A625BF"/>
    <w:rsid w:val="00A633B9"/>
    <w:rsid w:val="00A64429"/>
    <w:rsid w:val="00A64584"/>
    <w:rsid w:val="00A67769"/>
    <w:rsid w:val="00A710B0"/>
    <w:rsid w:val="00A7361C"/>
    <w:rsid w:val="00A73A7D"/>
    <w:rsid w:val="00A85737"/>
    <w:rsid w:val="00A85F76"/>
    <w:rsid w:val="00A877BD"/>
    <w:rsid w:val="00A87E54"/>
    <w:rsid w:val="00A902C1"/>
    <w:rsid w:val="00AB0DF3"/>
    <w:rsid w:val="00AB1AE5"/>
    <w:rsid w:val="00AB301F"/>
    <w:rsid w:val="00AB7A80"/>
    <w:rsid w:val="00AC30FC"/>
    <w:rsid w:val="00AD3D71"/>
    <w:rsid w:val="00AD43CC"/>
    <w:rsid w:val="00AE0D06"/>
    <w:rsid w:val="00AF0F2D"/>
    <w:rsid w:val="00AF2EAF"/>
    <w:rsid w:val="00AF552F"/>
    <w:rsid w:val="00B03DC9"/>
    <w:rsid w:val="00B04364"/>
    <w:rsid w:val="00B10B19"/>
    <w:rsid w:val="00B15E58"/>
    <w:rsid w:val="00B26E30"/>
    <w:rsid w:val="00B34D73"/>
    <w:rsid w:val="00B354E6"/>
    <w:rsid w:val="00B45ED1"/>
    <w:rsid w:val="00B51703"/>
    <w:rsid w:val="00B5302B"/>
    <w:rsid w:val="00B54FFF"/>
    <w:rsid w:val="00B65025"/>
    <w:rsid w:val="00B671BF"/>
    <w:rsid w:val="00B80DEA"/>
    <w:rsid w:val="00B841AB"/>
    <w:rsid w:val="00B96917"/>
    <w:rsid w:val="00B97614"/>
    <w:rsid w:val="00BA2309"/>
    <w:rsid w:val="00BA3D48"/>
    <w:rsid w:val="00BA55B7"/>
    <w:rsid w:val="00BA7DB2"/>
    <w:rsid w:val="00BB3D25"/>
    <w:rsid w:val="00BB72F0"/>
    <w:rsid w:val="00BB7B19"/>
    <w:rsid w:val="00BB7D22"/>
    <w:rsid w:val="00BC089D"/>
    <w:rsid w:val="00BC361C"/>
    <w:rsid w:val="00BD5A35"/>
    <w:rsid w:val="00BE20DD"/>
    <w:rsid w:val="00BE5E84"/>
    <w:rsid w:val="00BF0C6E"/>
    <w:rsid w:val="00BF69F3"/>
    <w:rsid w:val="00C133B5"/>
    <w:rsid w:val="00C14966"/>
    <w:rsid w:val="00C21DBC"/>
    <w:rsid w:val="00C22E14"/>
    <w:rsid w:val="00C26448"/>
    <w:rsid w:val="00C30F2D"/>
    <w:rsid w:val="00C56D6C"/>
    <w:rsid w:val="00C57A67"/>
    <w:rsid w:val="00C614EA"/>
    <w:rsid w:val="00C62C17"/>
    <w:rsid w:val="00C679DA"/>
    <w:rsid w:val="00C7220A"/>
    <w:rsid w:val="00C77541"/>
    <w:rsid w:val="00C81510"/>
    <w:rsid w:val="00C84847"/>
    <w:rsid w:val="00C975AA"/>
    <w:rsid w:val="00CA1937"/>
    <w:rsid w:val="00CC2660"/>
    <w:rsid w:val="00CC2A43"/>
    <w:rsid w:val="00CC46A4"/>
    <w:rsid w:val="00CD525F"/>
    <w:rsid w:val="00CD63D6"/>
    <w:rsid w:val="00CD6509"/>
    <w:rsid w:val="00CE0EB0"/>
    <w:rsid w:val="00CE7292"/>
    <w:rsid w:val="00CF03B8"/>
    <w:rsid w:val="00CF050D"/>
    <w:rsid w:val="00CF2784"/>
    <w:rsid w:val="00CF672C"/>
    <w:rsid w:val="00CF6CE6"/>
    <w:rsid w:val="00D06581"/>
    <w:rsid w:val="00D06C9C"/>
    <w:rsid w:val="00D17B23"/>
    <w:rsid w:val="00D22047"/>
    <w:rsid w:val="00D33863"/>
    <w:rsid w:val="00D34073"/>
    <w:rsid w:val="00D3537B"/>
    <w:rsid w:val="00D42014"/>
    <w:rsid w:val="00D42B72"/>
    <w:rsid w:val="00D47DA5"/>
    <w:rsid w:val="00D57B36"/>
    <w:rsid w:val="00D7198C"/>
    <w:rsid w:val="00D72227"/>
    <w:rsid w:val="00D82E99"/>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358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93FBF"/>
    <w:rsid w:val="00E94C68"/>
    <w:rsid w:val="00EA23AC"/>
    <w:rsid w:val="00EB10E1"/>
    <w:rsid w:val="00EB7ACD"/>
    <w:rsid w:val="00EC0600"/>
    <w:rsid w:val="00EE0ADA"/>
    <w:rsid w:val="00EE130A"/>
    <w:rsid w:val="00EE3A06"/>
    <w:rsid w:val="00EE489A"/>
    <w:rsid w:val="00F028E3"/>
    <w:rsid w:val="00F05AE7"/>
    <w:rsid w:val="00F10880"/>
    <w:rsid w:val="00F17576"/>
    <w:rsid w:val="00F34C71"/>
    <w:rsid w:val="00F3589A"/>
    <w:rsid w:val="00F44F70"/>
    <w:rsid w:val="00F5308E"/>
    <w:rsid w:val="00F62596"/>
    <w:rsid w:val="00F71A63"/>
    <w:rsid w:val="00F73B30"/>
    <w:rsid w:val="00F7510A"/>
    <w:rsid w:val="00F80327"/>
    <w:rsid w:val="00F80404"/>
    <w:rsid w:val="00F8075F"/>
    <w:rsid w:val="00F814FC"/>
    <w:rsid w:val="00F83691"/>
    <w:rsid w:val="00F95728"/>
    <w:rsid w:val="00F965E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620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gobierno.pr/publicaciones/boletin-informativo-de-rentas-internas-num-04-03" TargetMode="External"/><Relationship Id="rId18" Type="http://schemas.openxmlformats.org/officeDocument/2006/relationships/hyperlink" Target="http://www.hacienda.gobierno.pr/publicaciones/determinacion-administrativa-num-08-04" TargetMode="External"/><Relationship Id="rId26" Type="http://schemas.openxmlformats.org/officeDocument/2006/relationships/hyperlink" Target="http://www.hacienda.pr.gov/" TargetMode="External"/><Relationship Id="rId39" Type="http://schemas.openxmlformats.org/officeDocument/2006/relationships/customXml" Target="../customXml/item4.xml"/><Relationship Id="rId21" Type="http://schemas.openxmlformats.org/officeDocument/2006/relationships/hyperlink" Target="http://www.hacienda.pr.gov/sobre-hacienda/servicios-al-contribuyente/directorio-de-colecturia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gobierno.pr/publicaciones/determinacion-administrativa-num-07-01" TargetMode="External"/><Relationship Id="rId25" Type="http://schemas.openxmlformats.org/officeDocument/2006/relationships/image" Target="media/image8.jpeg"/><Relationship Id="rId33" Type="http://schemas.openxmlformats.org/officeDocument/2006/relationships/footer" Target="foot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gobierno.pr/publicaciones/determinacion-administrativa-num-05-02" TargetMode="External"/><Relationship Id="rId20" Type="http://schemas.openxmlformats.org/officeDocument/2006/relationships/image" Target="media/image7.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acienda.pr.gov/sobre-hacienda/servicios-al-contribuyente/procurador-del-contribuyente/contacto" TargetMode="External"/><Relationship Id="rId32" Type="http://schemas.openxmlformats.org/officeDocument/2006/relationships/header" Target="header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hyperlink" Target="http://www.hacienda.pr.gov/sobre-hacienda/servicios-al-contribuyente/directorio-de-colecturias"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publicaciones/circular-letter-no-99-01" TargetMode="External"/><Relationship Id="rId22" Type="http://schemas.openxmlformats.org/officeDocument/2006/relationships/hyperlink" Target="http://www.hacienda.pr.gov/sobre-hacienda/servicios-al-contribuyente/directorio-de-colecturias" TargetMode="External"/><Relationship Id="rId27" Type="http://schemas.openxmlformats.org/officeDocument/2006/relationships/image" Target="media/image9.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9442F39D-7299-43BD-B15D-7F6A1BD5F15C}"/>
</file>

<file path=customXml/itemProps2.xml><?xml version="1.0" encoding="utf-8"?>
<ds:datastoreItem xmlns:ds="http://schemas.openxmlformats.org/officeDocument/2006/customXml" ds:itemID="{983E1415-8695-4CED-AD6E-961030D3ADF7}"/>
</file>

<file path=customXml/itemProps3.xml><?xml version="1.0" encoding="utf-8"?>
<ds:datastoreItem xmlns:ds="http://schemas.openxmlformats.org/officeDocument/2006/customXml" ds:itemID="{96768AA9-5163-43A8-914A-36364A5B7338}"/>
</file>

<file path=customXml/itemProps4.xml><?xml version="1.0" encoding="utf-8"?>
<ds:datastoreItem xmlns:ds="http://schemas.openxmlformats.org/officeDocument/2006/customXml" ds:itemID="{190CBC21-3948-4C1D-B92D-AACFADAC5554}"/>
</file>

<file path=docProps/app.xml><?xml version="1.0" encoding="utf-8"?>
<Properties xmlns="http://schemas.openxmlformats.org/officeDocument/2006/extended-properties" xmlns:vt="http://schemas.openxmlformats.org/officeDocument/2006/docPropsVTypes">
  <Template>Plantilla Nueva 15dec14.dotx</Template>
  <TotalTime>360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Ingresos miscelaneos (Anejo F)</dc:title>
  <dc:subject>Referido</dc:subject>
  <dc:creator>Edgar R Rivera Cruz</dc:creator>
  <cp:keywords>DAC</cp:keywords>
  <cp:lastModifiedBy>erc0119</cp:lastModifiedBy>
  <cp:revision>42</cp:revision>
  <cp:lastPrinted>2012-05-17T13:48:00Z</cp:lastPrinted>
  <dcterms:created xsi:type="dcterms:W3CDTF">2015-01-28T20:53:00Z</dcterms:created>
  <dcterms:modified xsi:type="dcterms:W3CDTF">2015-08-17T19:11:00Z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