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80E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80E7B" w:rsidRDefault="00591CEE" w:rsidP="00D65C3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80E7B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52462C5" wp14:editId="3FEE0B5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22526" w:rsidRDefault="004979AF" w:rsidP="00E277C5">
            <w:r w:rsidRPr="00080E7B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A22526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D23AB4" w:rsidRPr="00D23AB4" w:rsidRDefault="00D23AB4" w:rsidP="00415F9D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3AB4">
        <w:rPr>
          <w:rFonts w:asciiTheme="minorHAnsi" w:hAnsiTheme="minorHAnsi" w:cstheme="minorHAnsi"/>
          <w:sz w:val="22"/>
          <w:szCs w:val="22"/>
        </w:rPr>
        <w:t xml:space="preserve">El Departamento de la Familia está </w:t>
      </w:r>
      <w:r w:rsidR="00415F9D" w:rsidRPr="00D23AB4">
        <w:rPr>
          <w:rFonts w:asciiTheme="minorHAnsi" w:hAnsiTheme="minorHAnsi" w:cstheme="minorHAnsi"/>
          <w:sz w:val="22"/>
          <w:szCs w:val="22"/>
        </w:rPr>
        <w:t>constituido</w:t>
      </w:r>
      <w:r w:rsidRPr="00D23AB4">
        <w:rPr>
          <w:rFonts w:asciiTheme="minorHAnsi" w:hAnsiTheme="minorHAnsi" w:cstheme="minorHAnsi"/>
          <w:sz w:val="22"/>
          <w:szCs w:val="22"/>
        </w:rPr>
        <w:t xml:space="preserve"> por los siguientes componentes programáticos y operacionales:</w:t>
      </w:r>
    </w:p>
    <w:p w:rsidR="00D23AB4" w:rsidRPr="00D23AB4" w:rsidRDefault="00D23AB4" w:rsidP="00415F9D">
      <w:pPr>
        <w:pStyle w:val="s4-wptoptable1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3AB4">
        <w:rPr>
          <w:rFonts w:asciiTheme="minorHAnsi" w:hAnsiTheme="minorHAnsi" w:cstheme="minorHAnsi"/>
          <w:sz w:val="22"/>
          <w:szCs w:val="22"/>
        </w:rPr>
        <w:t>Administración de Desarrollo Socioeconómico de la Familia (ADSEF)</w:t>
      </w:r>
    </w:p>
    <w:p w:rsidR="00D23AB4" w:rsidRPr="00D23AB4" w:rsidRDefault="00415F9D" w:rsidP="00415F9D">
      <w:pPr>
        <w:pStyle w:val="s4-wptoptable1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3AB4">
        <w:rPr>
          <w:rFonts w:asciiTheme="minorHAnsi" w:hAnsiTheme="minorHAnsi" w:cstheme="minorHAnsi"/>
          <w:sz w:val="22"/>
          <w:szCs w:val="22"/>
        </w:rPr>
        <w:t>Administración</w:t>
      </w:r>
      <w:r w:rsidR="00D23AB4" w:rsidRPr="00D23AB4">
        <w:rPr>
          <w:rFonts w:asciiTheme="minorHAnsi" w:hAnsiTheme="minorHAnsi" w:cstheme="minorHAnsi"/>
          <w:sz w:val="22"/>
          <w:szCs w:val="22"/>
        </w:rPr>
        <w:t xml:space="preserve"> de Familias y Niños (ADFAN)</w:t>
      </w:r>
    </w:p>
    <w:p w:rsidR="00D23AB4" w:rsidRPr="00D23AB4" w:rsidRDefault="00D23AB4" w:rsidP="00415F9D">
      <w:pPr>
        <w:pStyle w:val="s4-wptoptable1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3AB4">
        <w:rPr>
          <w:rFonts w:asciiTheme="minorHAnsi" w:hAnsiTheme="minorHAnsi" w:cstheme="minorHAnsi"/>
          <w:sz w:val="22"/>
          <w:szCs w:val="22"/>
        </w:rPr>
        <w:t>Administración para el Cuidado y Desarrollo Integral de la Niñez (ACUDEN)</w:t>
      </w:r>
    </w:p>
    <w:p w:rsidR="00D23AB4" w:rsidRPr="00D23AB4" w:rsidRDefault="00D23AB4" w:rsidP="00415F9D">
      <w:pPr>
        <w:pStyle w:val="s4-wptoptable1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3AB4">
        <w:rPr>
          <w:rFonts w:asciiTheme="minorHAnsi" w:hAnsiTheme="minorHAnsi" w:cstheme="minorHAnsi"/>
          <w:sz w:val="22"/>
          <w:szCs w:val="22"/>
        </w:rPr>
        <w:t>Administración para el Sustento de Menores (ASUME)</w:t>
      </w:r>
    </w:p>
    <w:p w:rsidR="00444863" w:rsidRPr="00415F9D" w:rsidRDefault="00D23AB4" w:rsidP="00415F9D">
      <w:pPr>
        <w:pStyle w:val="s4-wptoptable1"/>
        <w:numPr>
          <w:ilvl w:val="0"/>
          <w:numId w:val="18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3AB4">
        <w:rPr>
          <w:rFonts w:asciiTheme="minorHAnsi" w:hAnsiTheme="minorHAnsi" w:cstheme="minorHAnsi"/>
          <w:sz w:val="22"/>
          <w:szCs w:val="22"/>
        </w:rPr>
        <w:t>Corporación Pública Industria de Ciegos, Personas Mentalmente Retardadas y otras Person</w:t>
      </w:r>
      <w:r w:rsidR="00415F9D">
        <w:rPr>
          <w:rFonts w:asciiTheme="minorHAnsi" w:hAnsiTheme="minorHAnsi" w:cstheme="minorHAnsi"/>
          <w:sz w:val="22"/>
          <w:szCs w:val="22"/>
        </w:rPr>
        <w:t xml:space="preserve">as Incapacitadas de Puerto Rico (CIRIO)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80E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80E7B" w:rsidRDefault="00591CEE" w:rsidP="00D65C3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0E7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1F129A2" wp14:editId="3BD6E37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80E7B" w:rsidRDefault="00CA1937" w:rsidP="00D65C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80E7B">
              <w:rPr>
                <w:rFonts w:ascii="Calibri" w:hAnsi="Calibri" w:cs="Calibri"/>
                <w:b/>
                <w:sz w:val="28"/>
                <w:szCs w:val="28"/>
              </w:rPr>
              <w:t>Lugar y Horario de Servicio</w:t>
            </w:r>
          </w:p>
        </w:tc>
      </w:tr>
    </w:tbl>
    <w:p w:rsidR="00A95995" w:rsidRDefault="00A95995" w:rsidP="00F2758A">
      <w:pPr>
        <w:pStyle w:val="NoSpacing"/>
        <w:spacing w:before="120"/>
        <w:jc w:val="both"/>
        <w:rPr>
          <w:rFonts w:cstheme="minorHAnsi"/>
          <w:lang w:val="es-ES_tradnl"/>
        </w:rPr>
      </w:pPr>
      <w:r w:rsidRPr="00A95995">
        <w:rPr>
          <w:rFonts w:cstheme="minorHAnsi"/>
          <w:b/>
          <w:lang w:val="es-ES_tradnl"/>
        </w:rPr>
        <w:t>Línea Orientación del Departamento de la Familia</w:t>
      </w:r>
      <w:r>
        <w:rPr>
          <w:rFonts w:cstheme="minorHAnsi"/>
          <w:lang w:val="es-ES_tradnl"/>
        </w:rPr>
        <w:t>: 1-888-359-7777 /  (787) 977-8022</w:t>
      </w:r>
    </w:p>
    <w:p w:rsidR="00676D43" w:rsidRPr="00676D43" w:rsidRDefault="00676D43" w:rsidP="00676D43">
      <w:pPr>
        <w:pStyle w:val="NoSpacing"/>
        <w:spacing w:before="120" w:after="240"/>
        <w:jc w:val="both"/>
        <w:rPr>
          <w:rFonts w:cstheme="minorHAnsi"/>
        </w:rPr>
      </w:pPr>
      <w:r w:rsidRPr="00676D43">
        <w:rPr>
          <w:rFonts w:cstheme="minorHAnsi"/>
          <w:b/>
          <w:bCs/>
        </w:rPr>
        <w:t>Horario</w:t>
      </w:r>
      <w:r w:rsidRPr="00676D43">
        <w:rPr>
          <w:rFonts w:cstheme="minorHAnsi"/>
        </w:rPr>
        <w:t>: 7 días a la semana, 8:00 am- 12:00 medianoche</w:t>
      </w:r>
    </w:p>
    <w:p w:rsidR="00676D43" w:rsidRPr="00676D43" w:rsidRDefault="00676D43" w:rsidP="00676D43">
      <w:pPr>
        <w:pStyle w:val="NoSpacing"/>
        <w:spacing w:before="120"/>
        <w:jc w:val="both"/>
        <w:rPr>
          <w:rFonts w:cstheme="minorHAnsi"/>
        </w:rPr>
      </w:pPr>
      <w:r w:rsidRPr="00676D43">
        <w:rPr>
          <w:rFonts w:cstheme="minorHAnsi"/>
          <w:b/>
          <w:bCs/>
        </w:rPr>
        <w:t>Línea de emergencia (Maltrato: menores de edad, personas de edad avanzada y adultos con impedimentos)</w:t>
      </w:r>
      <w:r w:rsidRPr="00676D43">
        <w:rPr>
          <w:rFonts w:cstheme="minorHAnsi"/>
        </w:rPr>
        <w:t xml:space="preserve"> 1-800-981-8333 / 787-749-1333</w:t>
      </w:r>
    </w:p>
    <w:p w:rsidR="00676D43" w:rsidRPr="00676D43" w:rsidRDefault="00676D43" w:rsidP="00676D43">
      <w:pPr>
        <w:pStyle w:val="NoSpacing"/>
        <w:spacing w:before="120" w:after="240"/>
        <w:jc w:val="both"/>
        <w:rPr>
          <w:rFonts w:cstheme="minorHAnsi"/>
        </w:rPr>
      </w:pPr>
      <w:r w:rsidRPr="00676D43">
        <w:rPr>
          <w:rFonts w:cstheme="minorHAnsi"/>
          <w:b/>
          <w:bCs/>
        </w:rPr>
        <w:t>Horario:</w:t>
      </w:r>
      <w:r w:rsidRPr="00676D43">
        <w:rPr>
          <w:rFonts w:cstheme="minorHAnsi"/>
        </w:rPr>
        <w:t xml:space="preserve"> 7 días a la semana, 24 horas al día</w:t>
      </w:r>
    </w:p>
    <w:p w:rsidR="00F2758A" w:rsidRDefault="00F2758A" w:rsidP="00676D43">
      <w:pPr>
        <w:pStyle w:val="NoSpacing"/>
        <w:spacing w:line="276" w:lineRule="auto"/>
        <w:jc w:val="both"/>
        <w:rPr>
          <w:rFonts w:cstheme="minorHAnsi"/>
          <w:lang w:val="es-ES_tradnl"/>
        </w:rPr>
      </w:pPr>
      <w:r w:rsidRPr="00F2758A">
        <w:rPr>
          <w:rFonts w:cstheme="minorHAnsi"/>
          <w:b/>
          <w:lang w:val="es-ES_tradnl"/>
        </w:rPr>
        <w:t>Fax:</w:t>
      </w: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(787) 294-0732</w:t>
      </w:r>
    </w:p>
    <w:p w:rsidR="00F2758A" w:rsidRDefault="00F2758A" w:rsidP="00F2758A">
      <w:pPr>
        <w:pStyle w:val="NoSpacing"/>
        <w:jc w:val="both"/>
        <w:rPr>
          <w:rFonts w:cstheme="minorHAnsi"/>
          <w:lang w:val="es-ES_tradnl"/>
        </w:rPr>
      </w:pPr>
      <w:r w:rsidRPr="00F2758A">
        <w:rPr>
          <w:rFonts w:cstheme="minorHAnsi"/>
          <w:b/>
          <w:lang w:val="es-ES_tradnl"/>
        </w:rPr>
        <w:t>Dirección Física:</w:t>
      </w: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 w:rsidR="00676D43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Ave. Barbosa #306</w:t>
      </w:r>
    </w:p>
    <w:p w:rsidR="00F2758A" w:rsidRDefault="00F2758A" w:rsidP="00676D43">
      <w:pPr>
        <w:pStyle w:val="NoSpacing"/>
        <w:spacing w:line="276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 </w:t>
      </w:r>
      <w:r>
        <w:rPr>
          <w:rFonts w:cstheme="minorHAnsi"/>
          <w:lang w:val="es-ES_tradnl"/>
        </w:rPr>
        <w:tab/>
      </w:r>
      <w:r w:rsidR="00676D43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San Juan, PR 00910-1398</w:t>
      </w:r>
    </w:p>
    <w:p w:rsidR="00F2758A" w:rsidRDefault="00F2758A" w:rsidP="00F2758A">
      <w:pPr>
        <w:pStyle w:val="NoSpacing"/>
        <w:jc w:val="both"/>
        <w:rPr>
          <w:rFonts w:cstheme="minorHAnsi"/>
          <w:lang w:val="es-ES_tradnl"/>
        </w:rPr>
      </w:pPr>
      <w:r w:rsidRPr="00F2758A">
        <w:rPr>
          <w:rFonts w:cstheme="minorHAnsi"/>
          <w:b/>
          <w:lang w:val="es-ES_tradnl"/>
        </w:rPr>
        <w:t>Dirección Postal:</w:t>
      </w:r>
      <w:r>
        <w:rPr>
          <w:rFonts w:cstheme="minorHAnsi"/>
          <w:b/>
          <w:lang w:val="es-ES_tradnl"/>
        </w:rPr>
        <w:tab/>
      </w:r>
      <w:r>
        <w:rPr>
          <w:rFonts w:cstheme="minorHAnsi"/>
          <w:lang w:val="es-ES_tradnl"/>
        </w:rPr>
        <w:t xml:space="preserve"> P.O. Box 11398</w:t>
      </w:r>
    </w:p>
    <w:p w:rsidR="006D1D99" w:rsidRPr="00E3058B" w:rsidRDefault="00F2758A" w:rsidP="00676D43">
      <w:pPr>
        <w:pStyle w:val="NoSpacing"/>
        <w:spacing w:after="100" w:afterAutospacing="1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  </w:t>
      </w:r>
      <w:r>
        <w:rPr>
          <w:rFonts w:cstheme="minorHAnsi"/>
          <w:lang w:val="es-ES_tradnl"/>
        </w:rPr>
        <w:tab/>
      </w:r>
      <w:r w:rsidR="00676D43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Hato Rey, PR 00917</w:t>
      </w:r>
    </w:p>
    <w:tbl>
      <w:tblPr>
        <w:tblStyle w:val="TableGrid"/>
        <w:tblpPr w:leftFromText="180" w:rightFromText="180" w:vertAnchor="text" w:horzAnchor="margin" w:tblpXSpec="right" w:tblpY="52"/>
        <w:tblW w:w="10278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72258" w:rsidRPr="00080E7B" w:rsidTr="00E7225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72258" w:rsidRPr="00080E7B" w:rsidRDefault="00E72258" w:rsidP="00D65C3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0E7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8DC7DD5" wp14:editId="1DD42AEC">
                  <wp:extent cx="275070" cy="274320"/>
                  <wp:effectExtent l="19050" t="0" r="0" b="0"/>
                  <wp:docPr id="5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E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2258" w:rsidRPr="00080E7B" w:rsidRDefault="00E72258" w:rsidP="00D65C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80E7B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D23AB4" w:rsidRPr="00E277C5" w:rsidRDefault="002B7C68" w:rsidP="00D23AB4">
      <w:pPr>
        <w:pStyle w:val="NoSpacing"/>
        <w:spacing w:before="120" w:after="120"/>
        <w:jc w:val="both"/>
        <w:rPr>
          <w:rFonts w:cstheme="minorHAnsi"/>
          <w:lang w:val="es-ES_tradnl"/>
        </w:rPr>
      </w:pPr>
      <w:hyperlink r:id="rId15" w:history="1">
        <w:r w:rsidR="00D23AB4" w:rsidRPr="00E277C5">
          <w:rPr>
            <w:rStyle w:val="Hyperlink"/>
            <w:rFonts w:cstheme="minorHAnsi"/>
            <w:lang w:val="es-ES_tradnl"/>
          </w:rPr>
          <w:t>ACUDEN</w:t>
        </w:r>
      </w:hyperlink>
      <w:r w:rsidR="00D23AB4">
        <w:rPr>
          <w:rFonts w:cstheme="minorHAnsi"/>
          <w:color w:val="000000"/>
          <w:lang w:val="es-ES_tradnl"/>
        </w:rPr>
        <w:t xml:space="preserve"> </w:t>
      </w:r>
      <w:r w:rsidR="00D23AB4">
        <w:rPr>
          <w:rFonts w:cstheme="minorHAnsi"/>
          <w:lang w:val="es-ES_tradnl"/>
        </w:rPr>
        <w:t xml:space="preserve">– </w:t>
      </w:r>
      <w:r w:rsidR="00D23AB4" w:rsidRPr="00E277C5">
        <w:rPr>
          <w:rFonts w:cstheme="minorHAnsi"/>
          <w:b/>
          <w:highlight w:val="yellow"/>
          <w:lang w:val="es-ES_tradnl"/>
        </w:rPr>
        <w:t>Agencia No Integrada</w:t>
      </w:r>
    </w:p>
    <w:p w:rsidR="00D23AB4" w:rsidRDefault="00D23AB4" w:rsidP="00D23AB4">
      <w:pPr>
        <w:pStyle w:val="NoSpacing"/>
        <w:spacing w:before="120" w:after="120"/>
        <w:jc w:val="both"/>
        <w:rPr>
          <w:rFonts w:cs="Arial"/>
          <w:noProof/>
          <w:color w:val="000000"/>
        </w:rPr>
      </w:pPr>
      <w:r w:rsidRPr="00F01A10">
        <w:rPr>
          <w:rFonts w:cs="Arial"/>
          <w:noProof/>
          <w:color w:val="000000"/>
        </w:rPr>
        <w:t>Administración para el Cuidado y Desarrollo Integral de la Niñez</w:t>
      </w:r>
      <w:r>
        <w:rPr>
          <w:rFonts w:cs="Arial"/>
          <w:noProof/>
          <w:color w:val="000000"/>
        </w:rPr>
        <w:t xml:space="preserve"> (ACUDEN) garantiza </w:t>
      </w:r>
      <w:r w:rsidRPr="00F01A10">
        <w:rPr>
          <w:rFonts w:cs="Arial"/>
          <w:noProof/>
          <w:color w:val="000000"/>
        </w:rPr>
        <w:t>el cuidado y desarrollo integral de los menores, desde sus etapas formativas tempranas, asegurando la accesibilidad, disponibilidad y la calidad de servicios de cuido a infantes, maternales, pre</w:t>
      </w:r>
      <w:r>
        <w:rPr>
          <w:rFonts w:cs="Arial"/>
          <w:noProof/>
          <w:color w:val="000000"/>
        </w:rPr>
        <w:t>-</w:t>
      </w:r>
      <w:r w:rsidRPr="00F01A10">
        <w:rPr>
          <w:rFonts w:cs="Arial"/>
          <w:noProof/>
          <w:color w:val="000000"/>
        </w:rPr>
        <w:t>escolares y escolares en Puerto Rico. También  ofrece educación pre</w:t>
      </w:r>
      <w:r>
        <w:rPr>
          <w:rFonts w:cs="Arial"/>
          <w:noProof/>
          <w:color w:val="000000"/>
        </w:rPr>
        <w:t>-</w:t>
      </w:r>
      <w:r w:rsidRPr="00F01A10">
        <w:rPr>
          <w:rFonts w:cs="Arial"/>
          <w:noProof/>
          <w:color w:val="000000"/>
        </w:rPr>
        <w:t>escolar y servicio</w:t>
      </w:r>
      <w:r>
        <w:rPr>
          <w:rFonts w:cs="Arial"/>
          <w:noProof/>
          <w:color w:val="000000"/>
        </w:rPr>
        <w:t>s multidisciplinarios a niño(as)</w:t>
      </w:r>
      <w:r w:rsidRPr="00F01A10">
        <w:rPr>
          <w:rFonts w:cs="Arial"/>
          <w:noProof/>
          <w:color w:val="000000"/>
        </w:rPr>
        <w:t xml:space="preserve"> de 3 y 4 años y sus familias.</w:t>
      </w:r>
    </w:p>
    <w:p w:rsidR="00D23AB4" w:rsidRDefault="002B7C68" w:rsidP="00D23AB4">
      <w:pPr>
        <w:pStyle w:val="NoSpacing"/>
        <w:spacing w:before="120" w:after="120"/>
        <w:jc w:val="both"/>
        <w:rPr>
          <w:rFonts w:cs="Arial"/>
          <w:b/>
          <w:noProof/>
        </w:rPr>
      </w:pPr>
      <w:hyperlink r:id="rId16" w:history="1">
        <w:r w:rsidR="00D23AB4" w:rsidRPr="00E277C5">
          <w:rPr>
            <w:rStyle w:val="Hyperlink"/>
            <w:rFonts w:cs="Arial"/>
            <w:noProof/>
          </w:rPr>
          <w:t>ADFAN</w:t>
        </w:r>
      </w:hyperlink>
      <w:r w:rsidR="00D23AB4">
        <w:rPr>
          <w:rFonts w:cs="Arial"/>
          <w:noProof/>
          <w:color w:val="000000"/>
        </w:rPr>
        <w:t xml:space="preserve"> </w:t>
      </w:r>
      <w:r w:rsidR="00D23AB4">
        <w:rPr>
          <w:rFonts w:cs="Arial"/>
          <w:noProof/>
        </w:rPr>
        <w:t xml:space="preserve">– </w:t>
      </w:r>
      <w:r w:rsidR="00D23AB4" w:rsidRPr="00BE2509">
        <w:rPr>
          <w:rFonts w:cs="Arial"/>
          <w:b/>
          <w:noProof/>
          <w:highlight w:val="yellow"/>
        </w:rPr>
        <w:t>Agencia No Integrada</w:t>
      </w:r>
    </w:p>
    <w:p w:rsidR="00D23AB4" w:rsidRPr="00E277C5" w:rsidRDefault="00D23AB4" w:rsidP="00D23AB4">
      <w:pPr>
        <w:pStyle w:val="NoSpacing"/>
        <w:spacing w:before="120" w:after="120"/>
        <w:jc w:val="both"/>
        <w:rPr>
          <w:rFonts w:cs="Arial"/>
          <w:noProof/>
        </w:rPr>
      </w:pPr>
      <w:r>
        <w:rPr>
          <w:rFonts w:eastAsia="Times New Roman" w:cs="Arial"/>
          <w:color w:val="000000"/>
        </w:rPr>
        <w:t xml:space="preserve">La </w:t>
      </w:r>
      <w:r w:rsidRPr="004B02D5">
        <w:rPr>
          <w:rFonts w:eastAsia="Times New Roman" w:cs="Arial"/>
          <w:color w:val="000000"/>
        </w:rPr>
        <w:t xml:space="preserve">Administración de Familias y Niños </w:t>
      </w:r>
      <w:r>
        <w:rPr>
          <w:rFonts w:eastAsia="Times New Roman" w:cs="Arial"/>
          <w:color w:val="000000"/>
        </w:rPr>
        <w:t>p</w:t>
      </w:r>
      <w:r w:rsidRPr="004B02D5">
        <w:rPr>
          <w:rFonts w:eastAsia="Times New Roman" w:cs="Arial"/>
          <w:color w:val="000000"/>
        </w:rPr>
        <w:t>rom</w:t>
      </w:r>
      <w:r>
        <w:rPr>
          <w:rFonts w:eastAsia="Times New Roman" w:cs="Arial"/>
          <w:color w:val="000000"/>
        </w:rPr>
        <w:t>ueve</w:t>
      </w:r>
      <w:r w:rsidRPr="004B02D5">
        <w:rPr>
          <w:rFonts w:eastAsia="Times New Roman" w:cs="Arial"/>
          <w:color w:val="000000"/>
        </w:rPr>
        <w:t xml:space="preserve"> y apoya los esfuerzos de individuos, familias y comunidades para que aporten a su propio desarrollo y al de la sociedad. A tales fines, facilita la prestación de servicios sociales, educativos y preventivos, dirigidos a lograr una mejor y más efectiva participación, igualdad y justicia social.</w:t>
      </w:r>
    </w:p>
    <w:p w:rsidR="00D23AB4" w:rsidRDefault="002B7C68" w:rsidP="00D23AB4">
      <w:pPr>
        <w:pStyle w:val="NoSpacing"/>
        <w:spacing w:before="120" w:after="120"/>
        <w:jc w:val="both"/>
        <w:rPr>
          <w:rFonts w:cs="Arial"/>
          <w:b/>
          <w:noProof/>
          <w:color w:val="000000"/>
        </w:rPr>
      </w:pPr>
      <w:hyperlink r:id="rId17" w:history="1">
        <w:r w:rsidR="00D23AB4" w:rsidRPr="00E277C5">
          <w:rPr>
            <w:rStyle w:val="Hyperlink"/>
            <w:rFonts w:cs="Arial"/>
            <w:noProof/>
          </w:rPr>
          <w:t>CIRIO</w:t>
        </w:r>
      </w:hyperlink>
      <w:r w:rsidR="00D23AB4">
        <w:rPr>
          <w:rFonts w:cs="Arial"/>
          <w:noProof/>
          <w:color w:val="000000"/>
        </w:rPr>
        <w:t xml:space="preserve"> – </w:t>
      </w:r>
      <w:r w:rsidR="00D23AB4" w:rsidRPr="00BE2509">
        <w:rPr>
          <w:rFonts w:cs="Arial"/>
          <w:b/>
          <w:noProof/>
          <w:color w:val="000000"/>
          <w:highlight w:val="yellow"/>
        </w:rPr>
        <w:t>Agencia No Integrada</w:t>
      </w:r>
    </w:p>
    <w:p w:rsidR="00D23AB4" w:rsidRDefault="00D23AB4" w:rsidP="00D23AB4">
      <w:pPr>
        <w:pStyle w:val="NoSpacing"/>
        <w:spacing w:before="120" w:after="120"/>
        <w:jc w:val="both"/>
        <w:rPr>
          <w:rFonts w:cs="Arial"/>
          <w:noProof/>
          <w:color w:val="000000"/>
        </w:rPr>
      </w:pPr>
      <w:r w:rsidRPr="00265FA3">
        <w:rPr>
          <w:rFonts w:cs="Arial"/>
          <w:color w:val="000000"/>
        </w:rPr>
        <w:t xml:space="preserve">La Corporación de Industrias de Ciegos, Personas Mentalmente Retardadas y Otras Personas Incapacitadas (CIRIO) provee medios para la rehabilitación social y económica de personas ciegas, personas mentalmente retardadas y otras personas con impedimentos en Puerto Rico, mediante </w:t>
      </w:r>
      <w:r w:rsidRPr="00265FA3">
        <w:rPr>
          <w:rFonts w:cs="Arial"/>
          <w:color w:val="000000"/>
        </w:rPr>
        <w:lastRenderedPageBreak/>
        <w:t>oportunidades de trabajo remunerado en talleres sin fines de lucro destinados a la producción de artículos para la venta al público.</w:t>
      </w:r>
    </w:p>
    <w:p w:rsidR="00D23AB4" w:rsidRDefault="002B7C68" w:rsidP="00D23AB4">
      <w:pPr>
        <w:pStyle w:val="NoSpacing"/>
        <w:spacing w:before="120" w:after="120"/>
        <w:jc w:val="both"/>
        <w:rPr>
          <w:rFonts w:cs="Arial"/>
          <w:b/>
          <w:noProof/>
          <w:color w:val="000000"/>
        </w:rPr>
      </w:pPr>
      <w:hyperlink r:id="rId18" w:history="1">
        <w:r w:rsidR="00D23AB4" w:rsidRPr="00E277C5">
          <w:rPr>
            <w:rStyle w:val="Hyperlink"/>
            <w:rFonts w:cs="Arial"/>
            <w:noProof/>
          </w:rPr>
          <w:t>ADSEF</w:t>
        </w:r>
      </w:hyperlink>
      <w:r w:rsidR="00D23AB4">
        <w:rPr>
          <w:rFonts w:cs="Arial"/>
          <w:noProof/>
          <w:color w:val="000000"/>
        </w:rPr>
        <w:t xml:space="preserve"> – </w:t>
      </w:r>
      <w:r w:rsidR="00D23AB4" w:rsidRPr="00BE2509">
        <w:rPr>
          <w:rFonts w:cs="Arial"/>
          <w:b/>
          <w:noProof/>
          <w:color w:val="000000"/>
          <w:highlight w:val="yellow"/>
        </w:rPr>
        <w:t>Agencia Integrada</w:t>
      </w:r>
    </w:p>
    <w:p w:rsidR="00D23AB4" w:rsidRPr="00235009" w:rsidRDefault="00D23AB4" w:rsidP="00D23AB4">
      <w:pPr>
        <w:pStyle w:val="NoSpacing"/>
        <w:spacing w:before="120" w:after="120"/>
        <w:rPr>
          <w:rFonts w:cstheme="minorHAnsi"/>
        </w:rPr>
      </w:pPr>
      <w:r w:rsidRPr="00235009">
        <w:rPr>
          <w:rFonts w:cstheme="minorHAnsi"/>
        </w:rPr>
        <w:t xml:space="preserve">La Administración de Desarrollo Socioeconómico de la Familia (ADSEF) es una entidad que está bajo la administración del Departamento de la Familia de Puerto Rico, </w:t>
      </w:r>
      <w:r>
        <w:rPr>
          <w:rFonts w:cstheme="minorHAnsi"/>
        </w:rPr>
        <w:t xml:space="preserve">que </w:t>
      </w:r>
      <w:r w:rsidRPr="00235009">
        <w:rPr>
          <w:rFonts w:cstheme="minorHAnsi"/>
        </w:rPr>
        <w:t>fue aprobada el 28 de julio de 1995.</w:t>
      </w:r>
    </w:p>
    <w:p w:rsidR="00D23AB4" w:rsidRPr="00235009" w:rsidRDefault="00D23AB4" w:rsidP="00D23AB4">
      <w:pPr>
        <w:pStyle w:val="NoSpacing"/>
        <w:spacing w:before="120" w:after="120"/>
        <w:rPr>
          <w:rFonts w:cstheme="minorHAnsi"/>
        </w:rPr>
      </w:pPr>
      <w:r w:rsidRPr="00235009">
        <w:rPr>
          <w:rFonts w:cstheme="minorHAnsi"/>
        </w:rPr>
        <w:t>Provee diversos servicios de asistencia y subsidios a cerca de seiscientos cuarenta mil (640,00</w:t>
      </w:r>
      <w:r>
        <w:rPr>
          <w:rFonts w:cstheme="minorHAnsi"/>
        </w:rPr>
        <w:t>0</w:t>
      </w:r>
      <w:r w:rsidRPr="00235009">
        <w:rPr>
          <w:rFonts w:cstheme="minorHAnsi"/>
        </w:rPr>
        <w:t>) familias y uno punto cinco (1.5) millones de individuos.  Entre los programas que ofrece se encuentran los siguientes: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235009">
        <w:rPr>
          <w:rFonts w:cstheme="minorHAnsi"/>
        </w:rPr>
        <w:t>Electronic Benefit Tranfer (EBT)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de Asistencia Nutricional (PAN, Tarjeta de la Familia)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de Ayuda Temporal para Familias Necesitadas (TANF)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de Alimentos para niños en Hogares de Cuido (Child Care)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de Alimentos y Albergue de Emergencia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de Subsidio de Energía y Crisis de Energía</w:t>
      </w:r>
    </w:p>
    <w:p w:rsidR="00D23AB4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de Rehabilitación Económica y Social (PRES)</w:t>
      </w:r>
    </w:p>
    <w:p w:rsidR="00D23AB4" w:rsidRPr="00BE2509" w:rsidRDefault="00D23AB4" w:rsidP="00D23AB4">
      <w:pPr>
        <w:pStyle w:val="NoSpacing"/>
        <w:numPr>
          <w:ilvl w:val="0"/>
          <w:numId w:val="17"/>
        </w:numPr>
        <w:rPr>
          <w:rFonts w:cstheme="minorHAnsi"/>
        </w:rPr>
      </w:pPr>
      <w:r w:rsidRPr="00BE2509">
        <w:rPr>
          <w:rFonts w:cstheme="minorHAnsi"/>
        </w:rPr>
        <w:t>Programa Subvención Individual y Familiar (SIF)</w:t>
      </w:r>
    </w:p>
    <w:p w:rsidR="00D23AB4" w:rsidRPr="00BE2509" w:rsidRDefault="00D23AB4" w:rsidP="00D23AB4">
      <w:pPr>
        <w:pStyle w:val="NoSpacing"/>
        <w:spacing w:before="120" w:after="120"/>
        <w:rPr>
          <w:rFonts w:cstheme="minorHAnsi"/>
        </w:rPr>
      </w:pPr>
      <w:r w:rsidRPr="00235009">
        <w:rPr>
          <w:rFonts w:cstheme="minorHAnsi"/>
        </w:rPr>
        <w:t>Toda familia o individuo está sujeto a requisitos de elegibilidad necesarios por cada programa en particular para beneficiarse de los programas ofrecidos por la Administración de Desarrollo Socioeconómico de la Familia (ADSEF).</w:t>
      </w:r>
    </w:p>
    <w:p w:rsidR="00D23AB4" w:rsidRPr="00236202" w:rsidRDefault="002B7C68" w:rsidP="00D23AB4">
      <w:pPr>
        <w:pStyle w:val="NoSpacing"/>
        <w:spacing w:before="120" w:after="120"/>
        <w:jc w:val="both"/>
        <w:rPr>
          <w:rFonts w:cs="Arial"/>
          <w:noProof/>
          <w:color w:val="000000"/>
        </w:rPr>
      </w:pPr>
      <w:hyperlink r:id="rId19" w:history="1">
        <w:r w:rsidR="00D23AB4" w:rsidRPr="00236202">
          <w:rPr>
            <w:rStyle w:val="Hyperlink"/>
            <w:rFonts w:cs="Arial"/>
            <w:noProof/>
          </w:rPr>
          <w:t>ASUME</w:t>
        </w:r>
      </w:hyperlink>
      <w:r w:rsidR="00D23AB4" w:rsidRPr="00236202">
        <w:rPr>
          <w:rFonts w:cs="Arial"/>
          <w:noProof/>
          <w:color w:val="000000"/>
        </w:rPr>
        <w:t xml:space="preserve"> – </w:t>
      </w:r>
      <w:r w:rsidR="00D23AB4" w:rsidRPr="00236202">
        <w:rPr>
          <w:rFonts w:cs="Arial"/>
          <w:b/>
          <w:noProof/>
          <w:color w:val="000000"/>
          <w:highlight w:val="yellow"/>
        </w:rPr>
        <w:t>Agencia Integrada</w:t>
      </w:r>
    </w:p>
    <w:p w:rsidR="00D23AB4" w:rsidRPr="00236202" w:rsidRDefault="00D23AB4" w:rsidP="00D23AB4">
      <w:pPr>
        <w:pStyle w:val="NoSpacing"/>
        <w:spacing w:before="120" w:after="120"/>
        <w:jc w:val="both"/>
        <w:rPr>
          <w:rFonts w:cs="Arial"/>
          <w:noProof/>
          <w:color w:val="000000"/>
        </w:rPr>
      </w:pPr>
      <w:r w:rsidRPr="00236202">
        <w:rPr>
          <w:rFonts w:cs="Arial"/>
          <w:noProof/>
          <w:color w:val="000000"/>
        </w:rPr>
        <w:t>La Administración para el Sustento de Menores (ASUME) es la agencia creada para implantar la política pública sobre el sustento de menores y el Programa de Sustento de Edad Avanzada (PROSPERA).</w:t>
      </w:r>
    </w:p>
    <w:p w:rsidR="00D23AB4" w:rsidRPr="00236202" w:rsidRDefault="00D23AB4" w:rsidP="00D23AB4">
      <w:pPr>
        <w:pStyle w:val="NoSpacing"/>
        <w:spacing w:before="120" w:after="120"/>
        <w:jc w:val="both"/>
        <w:rPr>
          <w:rFonts w:cs="Arial"/>
          <w:noProof/>
          <w:color w:val="000000"/>
        </w:rPr>
      </w:pPr>
      <w:r w:rsidRPr="00236202">
        <w:rPr>
          <w:rFonts w:cs="Arial"/>
          <w:noProof/>
          <w:color w:val="000000"/>
        </w:rPr>
        <w:t>Entre las funciones relacionadas al programa de Sustento de menores se destacan:</w:t>
      </w:r>
    </w:p>
    <w:p w:rsidR="00D23AB4" w:rsidRPr="00236202" w:rsidRDefault="00D23AB4" w:rsidP="00D23AB4">
      <w:pPr>
        <w:pStyle w:val="NoSpacing"/>
        <w:numPr>
          <w:ilvl w:val="0"/>
          <w:numId w:val="17"/>
        </w:numPr>
        <w:spacing w:before="120" w:after="120"/>
        <w:jc w:val="both"/>
        <w:rPr>
          <w:rFonts w:cs="Arial"/>
          <w:noProof/>
          <w:color w:val="000000"/>
        </w:rPr>
      </w:pPr>
      <w:r w:rsidRPr="00236202">
        <w:rPr>
          <w:rFonts w:cs="Arial"/>
          <w:noProof/>
          <w:color w:val="000000"/>
        </w:rPr>
        <w:t>La localización de las personas obligadas por la ley a proveer alimentos</w:t>
      </w:r>
    </w:p>
    <w:p w:rsidR="00D23AB4" w:rsidRPr="00236202" w:rsidRDefault="00D23AB4" w:rsidP="00D23AB4">
      <w:pPr>
        <w:pStyle w:val="NoSpacing"/>
        <w:numPr>
          <w:ilvl w:val="0"/>
          <w:numId w:val="17"/>
        </w:numPr>
        <w:spacing w:before="120" w:after="120"/>
        <w:jc w:val="both"/>
        <w:rPr>
          <w:rFonts w:cs="Arial"/>
          <w:noProof/>
          <w:color w:val="000000"/>
        </w:rPr>
      </w:pPr>
      <w:r w:rsidRPr="00236202">
        <w:rPr>
          <w:rFonts w:cs="Arial"/>
          <w:noProof/>
          <w:color w:val="000000"/>
        </w:rPr>
        <w:t>Fijar la paternidad cuando es necesario para exigir el cumplimiento de la obligación de proveer sustento</w:t>
      </w:r>
    </w:p>
    <w:p w:rsidR="00D23AB4" w:rsidRPr="00236202" w:rsidRDefault="00D23AB4" w:rsidP="00D23AB4">
      <w:pPr>
        <w:pStyle w:val="NoSpacing"/>
        <w:numPr>
          <w:ilvl w:val="0"/>
          <w:numId w:val="17"/>
        </w:numPr>
        <w:spacing w:before="120" w:after="120"/>
        <w:jc w:val="both"/>
        <w:rPr>
          <w:rFonts w:cs="Arial"/>
          <w:noProof/>
          <w:color w:val="000000"/>
        </w:rPr>
      </w:pPr>
      <w:r w:rsidRPr="00236202">
        <w:rPr>
          <w:rFonts w:cs="Arial"/>
          <w:noProof/>
          <w:color w:val="000000"/>
        </w:rPr>
        <w:t>Fijar, revisar y modificar pensiones alimetarias</w:t>
      </w:r>
    </w:p>
    <w:p w:rsidR="00D23AB4" w:rsidRPr="00236202" w:rsidRDefault="00D23AB4" w:rsidP="00D23AB4">
      <w:pPr>
        <w:pStyle w:val="NoSpacing"/>
        <w:numPr>
          <w:ilvl w:val="0"/>
          <w:numId w:val="17"/>
        </w:numPr>
        <w:spacing w:before="120" w:after="120"/>
        <w:jc w:val="both"/>
        <w:rPr>
          <w:rFonts w:cs="Arial"/>
          <w:noProof/>
          <w:color w:val="000000"/>
        </w:rPr>
      </w:pPr>
      <w:r w:rsidRPr="00236202">
        <w:rPr>
          <w:rFonts w:cs="Arial"/>
          <w:noProof/>
          <w:color w:val="000000"/>
        </w:rPr>
        <w:t>Cobro, recaudo y distribución de las pensiones alimentarias</w:t>
      </w:r>
    </w:p>
    <w:p w:rsidR="0012126C" w:rsidRPr="00E3058B" w:rsidRDefault="00D23AB4" w:rsidP="00D23AB4">
      <w:pPr>
        <w:pStyle w:val="NoSpacing"/>
        <w:spacing w:before="120" w:after="120"/>
        <w:ind w:left="720"/>
        <w:jc w:val="both"/>
        <w:rPr>
          <w:rFonts w:cstheme="minorHAnsi"/>
          <w:lang w:val="es-ES_tradnl"/>
        </w:rPr>
      </w:pPr>
      <w:r w:rsidRPr="00236202">
        <w:rPr>
          <w:rFonts w:cs="Arial"/>
          <w:noProof/>
          <w:color w:val="000000"/>
        </w:rPr>
        <w:t>Implantación del programa de alimentos interestatales</w:t>
      </w:r>
      <w:r w:rsidR="0012126C" w:rsidRPr="00E3058B">
        <w:rPr>
          <w:rFonts w:cstheme="minorHAnsi"/>
          <w:lang w:val="es-ES_tradnl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80E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80E7B" w:rsidRDefault="00FD084F" w:rsidP="00D65C3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0E7B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38C1934C" wp14:editId="753CAC03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E7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80E7B" w:rsidRDefault="006C6588" w:rsidP="00D65C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80E7B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080E7B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E277C5" w:rsidRPr="00236202" w:rsidRDefault="002B7C68" w:rsidP="00DE1E13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E277C5" w:rsidRPr="00236202">
          <w:rPr>
            <w:rStyle w:val="Hyperlink"/>
            <w:rFonts w:asciiTheme="minorHAnsi" w:hAnsiTheme="minorHAnsi" w:cstheme="minorHAnsi"/>
            <w:sz w:val="22"/>
            <w:szCs w:val="22"/>
          </w:rPr>
          <w:t>Página Web Departamento de la Familia</w:t>
        </w:r>
      </w:hyperlink>
      <w:r w:rsidR="00E277C5" w:rsidRPr="00236202">
        <w:rPr>
          <w:rFonts w:asciiTheme="minorHAnsi" w:hAnsiTheme="minorHAnsi" w:cstheme="minorHAnsi"/>
          <w:sz w:val="22"/>
          <w:szCs w:val="22"/>
        </w:rPr>
        <w:t xml:space="preserve"> - http://www.familia.gobierno.pr/</w:t>
      </w:r>
    </w:p>
    <w:p w:rsidR="00236202" w:rsidRPr="00236202" w:rsidRDefault="002B7C68" w:rsidP="00DE1E13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236202" w:rsidRPr="00236202">
          <w:rPr>
            <w:rStyle w:val="Hyperlink"/>
            <w:rFonts w:asciiTheme="minorHAnsi" w:hAnsiTheme="minorHAnsi" w:cstheme="minorHAnsi"/>
            <w:sz w:val="22"/>
            <w:szCs w:val="22"/>
          </w:rPr>
          <w:t>Página Web ACUDEN</w:t>
        </w:r>
      </w:hyperlink>
      <w:r w:rsidR="00236202" w:rsidRPr="00236202">
        <w:rPr>
          <w:rFonts w:asciiTheme="minorHAnsi" w:hAnsiTheme="minorHAnsi" w:cstheme="minorHAnsi"/>
          <w:sz w:val="22"/>
          <w:szCs w:val="22"/>
        </w:rPr>
        <w:t xml:space="preserve"> - http://www.acuden.gobierno.pr/</w:t>
      </w:r>
    </w:p>
    <w:p w:rsidR="00236202" w:rsidRPr="00236202" w:rsidRDefault="002B7C68" w:rsidP="00DE1E13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236202" w:rsidRPr="00236202">
          <w:rPr>
            <w:rStyle w:val="Hyperlink"/>
            <w:rFonts w:asciiTheme="minorHAnsi" w:hAnsiTheme="minorHAnsi" w:cstheme="minorHAnsi"/>
            <w:sz w:val="22"/>
            <w:szCs w:val="22"/>
          </w:rPr>
          <w:t>Página Web ADFAN</w:t>
        </w:r>
      </w:hyperlink>
      <w:r w:rsidR="00236202" w:rsidRPr="00236202">
        <w:rPr>
          <w:rFonts w:asciiTheme="minorHAnsi" w:hAnsiTheme="minorHAnsi" w:cstheme="minorHAnsi"/>
          <w:sz w:val="22"/>
          <w:szCs w:val="22"/>
        </w:rPr>
        <w:t xml:space="preserve"> - http://www.adfan.gobierno.pr/</w:t>
      </w:r>
    </w:p>
    <w:p w:rsidR="00236202" w:rsidRPr="00236202" w:rsidRDefault="002B7C68" w:rsidP="00DE1E13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236202" w:rsidRPr="00236202">
          <w:rPr>
            <w:rStyle w:val="Hyperlink"/>
            <w:rFonts w:asciiTheme="minorHAnsi" w:hAnsiTheme="minorHAnsi" w:cstheme="minorHAnsi"/>
            <w:sz w:val="22"/>
            <w:szCs w:val="22"/>
          </w:rPr>
          <w:t>Página Web CIRIO</w:t>
        </w:r>
      </w:hyperlink>
      <w:r w:rsidR="00236202" w:rsidRPr="00236202">
        <w:rPr>
          <w:rFonts w:asciiTheme="minorHAnsi" w:hAnsiTheme="minorHAnsi" w:cstheme="minorHAnsi"/>
          <w:sz w:val="22"/>
          <w:szCs w:val="22"/>
        </w:rPr>
        <w:t xml:space="preserve"> - http://www.familia.gobierno.pr/</w:t>
      </w:r>
    </w:p>
    <w:p w:rsidR="00236202" w:rsidRPr="00A95995" w:rsidRDefault="002B7C68" w:rsidP="00DE1E13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hyperlink r:id="rId25" w:history="1">
        <w:r w:rsidR="00236202" w:rsidRPr="00A95995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Página Web ADSEF</w:t>
        </w:r>
      </w:hyperlink>
      <w:r w:rsidR="00236202" w:rsidRPr="00A9599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– </w:t>
      </w:r>
      <w:r w:rsidR="00236202" w:rsidRPr="00A95995">
        <w:rPr>
          <w:rFonts w:asciiTheme="minorHAnsi" w:hAnsiTheme="minorHAnsi" w:cstheme="minorHAnsi"/>
          <w:sz w:val="22"/>
          <w:szCs w:val="22"/>
          <w:lang w:val="en-US"/>
        </w:rPr>
        <w:t>http://www.adsef.gobierno.pr/</w:t>
      </w:r>
    </w:p>
    <w:p w:rsidR="00801D8C" w:rsidRPr="00A95995" w:rsidRDefault="002B7C68" w:rsidP="00DE1E13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  <w:hyperlink r:id="rId26" w:history="1">
        <w:r w:rsidR="00801D8C" w:rsidRPr="00A95995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Página Web ASUME</w:t>
        </w:r>
      </w:hyperlink>
      <w:r w:rsidR="00801D8C" w:rsidRPr="00A95995">
        <w:rPr>
          <w:rFonts w:asciiTheme="minorHAnsi" w:hAnsiTheme="minorHAnsi" w:cstheme="minorHAnsi"/>
          <w:sz w:val="22"/>
          <w:szCs w:val="22"/>
          <w:lang w:val="en-US"/>
        </w:rPr>
        <w:t xml:space="preserve"> - http://www.asume.gobierno.pr/</w:t>
      </w:r>
    </w:p>
    <w:p w:rsidR="00EA3AAE" w:rsidRPr="00A95995" w:rsidRDefault="00EA3AAE" w:rsidP="006C4C0F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EA3AAE" w:rsidRPr="00A95995" w:rsidSect="0095372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7" w:rsidRDefault="00082087" w:rsidP="005501A9">
      <w:pPr>
        <w:spacing w:after="0" w:line="240" w:lineRule="auto"/>
      </w:pPr>
      <w:r>
        <w:separator/>
      </w:r>
    </w:p>
  </w:endnote>
  <w:endnote w:type="continuationSeparator" w:id="0">
    <w:p w:rsidR="00082087" w:rsidRDefault="0008208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3D" w:rsidRDefault="00265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44863" w:rsidTr="004529FC">
      <w:tc>
        <w:tcPr>
          <w:tcW w:w="2394" w:type="dxa"/>
          <w:shd w:val="clear" w:color="auto" w:fill="FFFFFF" w:themeFill="background1"/>
          <w:vAlign w:val="center"/>
        </w:tcPr>
        <w:p w:rsidR="00444863" w:rsidRDefault="0026553D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842F843" wp14:editId="5C3AE52D">
                    <wp:simplePos x="0" y="0"/>
                    <wp:positionH relativeFrom="column">
                      <wp:posOffset>-487045</wp:posOffset>
                    </wp:positionH>
                    <wp:positionV relativeFrom="paragraph">
                      <wp:posOffset>-54610</wp:posOffset>
                    </wp:positionV>
                    <wp:extent cx="5986145" cy="635"/>
                    <wp:effectExtent l="0" t="0" r="14605" b="37465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8.35pt;margin-top:-4.3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"/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67456" behindDoc="0" locked="0" layoutInCell="1" allowOverlap="1" wp14:anchorId="5A76CA16" wp14:editId="1A33868F">
                <wp:simplePos x="0" y="0"/>
                <wp:positionH relativeFrom="column">
                  <wp:posOffset>-69215</wp:posOffset>
                </wp:positionH>
                <wp:positionV relativeFrom="paragraph">
                  <wp:posOffset>-168275</wp:posOffset>
                </wp:positionV>
                <wp:extent cx="404495" cy="315595"/>
                <wp:effectExtent l="0" t="0" r="0" b="8255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495" cy="315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44863" w:rsidRPr="001C7A01" w:rsidRDefault="0026553D" w:rsidP="004529FC">
          <w:pPr>
            <w:pStyle w:val="Footer"/>
            <w:jc w:val="center"/>
          </w:pPr>
          <w:r w:rsidRPr="0026553D"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44863" w:rsidRPr="001C7A01" w:rsidRDefault="002B7C68" w:rsidP="004529FC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44863" w:rsidRPr="001C7A01">
                <w:t xml:space="preserve">Página </w:t>
              </w:r>
              <w:r w:rsidR="0069353A">
                <w:fldChar w:fldCharType="begin"/>
              </w:r>
              <w:r w:rsidR="00444863">
                <w:instrText xml:space="preserve"> PAGE </w:instrText>
              </w:r>
              <w:r w:rsidR="0069353A">
                <w:fldChar w:fldCharType="separate"/>
              </w:r>
              <w:r>
                <w:rPr>
                  <w:noProof/>
                </w:rPr>
                <w:t>1</w:t>
              </w:r>
              <w:r w:rsidR="0069353A">
                <w:rPr>
                  <w:noProof/>
                </w:rPr>
                <w:fldChar w:fldCharType="end"/>
              </w:r>
              <w:r w:rsidR="00444863" w:rsidRPr="001C7A01">
                <w:t xml:space="preserve"> de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sdtContent>
          </w:sdt>
          <w:r w:rsidR="00444863" w:rsidRPr="001C7A01">
            <w:t xml:space="preserve"> </w:t>
          </w:r>
        </w:p>
      </w:tc>
    </w:tr>
  </w:tbl>
  <w:p w:rsidR="00444863" w:rsidRDefault="004448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3D" w:rsidRDefault="0026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7" w:rsidRDefault="00082087" w:rsidP="005501A9">
      <w:pPr>
        <w:spacing w:after="0" w:line="240" w:lineRule="auto"/>
      </w:pPr>
      <w:r>
        <w:separator/>
      </w:r>
    </w:p>
  </w:footnote>
  <w:footnote w:type="continuationSeparator" w:id="0">
    <w:p w:rsidR="00082087" w:rsidRDefault="0008208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3D" w:rsidRDefault="00265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63" w:rsidRPr="004529FC" w:rsidRDefault="00B86BDC" w:rsidP="00CA41F6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4657090</wp:posOffset>
              </wp:positionH>
              <wp:positionV relativeFrom="paragraph">
                <wp:posOffset>90170</wp:posOffset>
              </wp:positionV>
              <wp:extent cx="1282065" cy="349250"/>
              <wp:effectExtent l="8255" t="8890" r="508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4863" w:rsidRPr="00B81693" w:rsidRDefault="00E277C5" w:rsidP="009906C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DF</w:t>
                          </w:r>
                          <w:r w:rsidR="00444863"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444863">
                            <w:rPr>
                              <w:sz w:val="16"/>
                              <w:szCs w:val="16"/>
                            </w:rPr>
                            <w:t>001</w:t>
                          </w:r>
                        </w:p>
                        <w:p w:rsidR="00444863" w:rsidRPr="00B81693" w:rsidRDefault="00444863" w:rsidP="009906C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E277C5">
                            <w:rPr>
                              <w:sz w:val="16"/>
                              <w:szCs w:val="16"/>
                            </w:rPr>
                            <w:t>27-sept</w:t>
                          </w:r>
                          <w:r w:rsidR="00B46A99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360273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6.7pt;margin-top:7.1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" filled="f" fillcolor="yellow">
              <v:textbox style="mso-fit-shape-to-text:t">
                <w:txbxContent>
                  <w:p w:rsidR="00444863" w:rsidRPr="00B81693" w:rsidRDefault="00E277C5" w:rsidP="009906C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DF</w:t>
                    </w:r>
                    <w:r w:rsidR="00444863" w:rsidRPr="00B81693">
                      <w:rPr>
                        <w:sz w:val="16"/>
                        <w:szCs w:val="16"/>
                      </w:rPr>
                      <w:t>-</w:t>
                    </w:r>
                    <w:r w:rsidR="00444863">
                      <w:rPr>
                        <w:sz w:val="16"/>
                        <w:szCs w:val="16"/>
                      </w:rPr>
                      <w:t>001</w:t>
                    </w:r>
                  </w:p>
                  <w:p w:rsidR="00444863" w:rsidRPr="00B81693" w:rsidRDefault="00444863" w:rsidP="009906C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E277C5">
                      <w:rPr>
                        <w:sz w:val="16"/>
                        <w:szCs w:val="16"/>
                      </w:rPr>
                      <w:t>27-sept</w:t>
                    </w:r>
                    <w:r w:rsidR="00B46A99">
                      <w:rPr>
                        <w:sz w:val="16"/>
                        <w:szCs w:val="16"/>
                      </w:rPr>
                      <w:t>-1</w:t>
                    </w:r>
                    <w:r w:rsidR="00360273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277C5">
      <w:rPr>
        <w:sz w:val="32"/>
        <w:szCs w:val="32"/>
      </w:rPr>
      <w:t>Departamento de la Familia (DF)</w:t>
    </w:r>
  </w:p>
  <w:p w:rsidR="00444863" w:rsidRDefault="00444863" w:rsidP="00CA41F6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I</w:t>
    </w:r>
    <w:r w:rsidR="00E277C5">
      <w:rPr>
        <w:b/>
        <w:sz w:val="28"/>
        <w:szCs w:val="28"/>
      </w:rPr>
      <w:t>nformación General</w:t>
    </w:r>
  </w:p>
  <w:p w:rsidR="00444863" w:rsidRPr="0047186A" w:rsidRDefault="00444863" w:rsidP="00CA41F6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3D" w:rsidRDefault="0026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CC9"/>
    <w:multiLevelType w:val="hybridMultilevel"/>
    <w:tmpl w:val="E6A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47BC"/>
    <w:multiLevelType w:val="hybridMultilevel"/>
    <w:tmpl w:val="992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1978"/>
    <w:multiLevelType w:val="hybridMultilevel"/>
    <w:tmpl w:val="A5B0CA60"/>
    <w:lvl w:ilvl="0" w:tplc="B29A6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501C"/>
    <w:multiLevelType w:val="hybridMultilevel"/>
    <w:tmpl w:val="E10662D4"/>
    <w:lvl w:ilvl="0" w:tplc="390E26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05B00"/>
    <w:multiLevelType w:val="hybridMultilevel"/>
    <w:tmpl w:val="B9D223F2"/>
    <w:lvl w:ilvl="0" w:tplc="14F8B9E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730C38"/>
    <w:multiLevelType w:val="hybridMultilevel"/>
    <w:tmpl w:val="CCBE1D7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299"/>
    <w:multiLevelType w:val="hybridMultilevel"/>
    <w:tmpl w:val="60F27B4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D28B8"/>
    <w:multiLevelType w:val="hybridMultilevel"/>
    <w:tmpl w:val="69B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6E92"/>
    <w:multiLevelType w:val="hybridMultilevel"/>
    <w:tmpl w:val="045A57A6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BFA23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3754D"/>
    <w:multiLevelType w:val="hybridMultilevel"/>
    <w:tmpl w:val="055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76EE2"/>
    <w:multiLevelType w:val="hybridMultilevel"/>
    <w:tmpl w:val="B2F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B5A"/>
    <w:multiLevelType w:val="hybridMultilevel"/>
    <w:tmpl w:val="93A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947C2"/>
    <w:multiLevelType w:val="multilevel"/>
    <w:tmpl w:val="3A8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F6383"/>
    <w:multiLevelType w:val="hybridMultilevel"/>
    <w:tmpl w:val="BFA224B8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52595"/>
    <w:multiLevelType w:val="hybridMultilevel"/>
    <w:tmpl w:val="411E9150"/>
    <w:lvl w:ilvl="0" w:tplc="DC6214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B0F30"/>
    <w:multiLevelType w:val="hybridMultilevel"/>
    <w:tmpl w:val="23667954"/>
    <w:lvl w:ilvl="0" w:tplc="390E26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439"/>
    <w:multiLevelType w:val="hybridMultilevel"/>
    <w:tmpl w:val="6A3E5D20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741B1"/>
    <w:multiLevelType w:val="hybridMultilevel"/>
    <w:tmpl w:val="E58CC432"/>
    <w:lvl w:ilvl="0" w:tplc="3CCE3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D0A"/>
    <w:rsid w:val="00016B20"/>
    <w:rsid w:val="000343B0"/>
    <w:rsid w:val="00040126"/>
    <w:rsid w:val="000408E3"/>
    <w:rsid w:val="00042BF2"/>
    <w:rsid w:val="00057000"/>
    <w:rsid w:val="00060511"/>
    <w:rsid w:val="00061423"/>
    <w:rsid w:val="000707C6"/>
    <w:rsid w:val="00077951"/>
    <w:rsid w:val="00080E7B"/>
    <w:rsid w:val="00082087"/>
    <w:rsid w:val="00083BEB"/>
    <w:rsid w:val="000964DF"/>
    <w:rsid w:val="000A1207"/>
    <w:rsid w:val="000A3C2C"/>
    <w:rsid w:val="000B69D3"/>
    <w:rsid w:val="000C4B3E"/>
    <w:rsid w:val="000D0D94"/>
    <w:rsid w:val="000F083A"/>
    <w:rsid w:val="000F44CD"/>
    <w:rsid w:val="000F46CC"/>
    <w:rsid w:val="000F7249"/>
    <w:rsid w:val="00101AF5"/>
    <w:rsid w:val="00102F67"/>
    <w:rsid w:val="001043D7"/>
    <w:rsid w:val="0010745C"/>
    <w:rsid w:val="0011279C"/>
    <w:rsid w:val="00113122"/>
    <w:rsid w:val="0011322E"/>
    <w:rsid w:val="0012126C"/>
    <w:rsid w:val="00126FC9"/>
    <w:rsid w:val="00131365"/>
    <w:rsid w:val="00133BAB"/>
    <w:rsid w:val="001356F1"/>
    <w:rsid w:val="0014074D"/>
    <w:rsid w:val="00142E48"/>
    <w:rsid w:val="00144D20"/>
    <w:rsid w:val="001462A9"/>
    <w:rsid w:val="00154AD2"/>
    <w:rsid w:val="00163E87"/>
    <w:rsid w:val="0016664C"/>
    <w:rsid w:val="00174283"/>
    <w:rsid w:val="00181A79"/>
    <w:rsid w:val="00181C7A"/>
    <w:rsid w:val="00185F44"/>
    <w:rsid w:val="00192DD3"/>
    <w:rsid w:val="001A338F"/>
    <w:rsid w:val="001A7226"/>
    <w:rsid w:val="001A7DE2"/>
    <w:rsid w:val="001B0F59"/>
    <w:rsid w:val="001B4194"/>
    <w:rsid w:val="001B6C87"/>
    <w:rsid w:val="001C2D5F"/>
    <w:rsid w:val="001C7A01"/>
    <w:rsid w:val="001D03E2"/>
    <w:rsid w:val="001D6C8C"/>
    <w:rsid w:val="001E2D5C"/>
    <w:rsid w:val="001E4EC7"/>
    <w:rsid w:val="001E52AF"/>
    <w:rsid w:val="001E5DA1"/>
    <w:rsid w:val="001E770C"/>
    <w:rsid w:val="001F61AD"/>
    <w:rsid w:val="002001E0"/>
    <w:rsid w:val="002004EC"/>
    <w:rsid w:val="0020276F"/>
    <w:rsid w:val="00203A78"/>
    <w:rsid w:val="00204116"/>
    <w:rsid w:val="00206E6F"/>
    <w:rsid w:val="00212801"/>
    <w:rsid w:val="0022604C"/>
    <w:rsid w:val="0022672D"/>
    <w:rsid w:val="00231ED1"/>
    <w:rsid w:val="002357D9"/>
    <w:rsid w:val="00236202"/>
    <w:rsid w:val="00245FEB"/>
    <w:rsid w:val="002475BA"/>
    <w:rsid w:val="002501E2"/>
    <w:rsid w:val="0025728D"/>
    <w:rsid w:val="0026553D"/>
    <w:rsid w:val="00270EEB"/>
    <w:rsid w:val="0027175F"/>
    <w:rsid w:val="002734CB"/>
    <w:rsid w:val="00277BF0"/>
    <w:rsid w:val="00285961"/>
    <w:rsid w:val="002A017A"/>
    <w:rsid w:val="002A0CAE"/>
    <w:rsid w:val="002A7691"/>
    <w:rsid w:val="002B5156"/>
    <w:rsid w:val="002B7C68"/>
    <w:rsid w:val="002C2758"/>
    <w:rsid w:val="002C5039"/>
    <w:rsid w:val="002C714B"/>
    <w:rsid w:val="002D01C1"/>
    <w:rsid w:val="002D1E0C"/>
    <w:rsid w:val="002D28E0"/>
    <w:rsid w:val="002D28E7"/>
    <w:rsid w:val="002D3544"/>
    <w:rsid w:val="002D748F"/>
    <w:rsid w:val="002E155B"/>
    <w:rsid w:val="002E1FC8"/>
    <w:rsid w:val="00306286"/>
    <w:rsid w:val="00307F9A"/>
    <w:rsid w:val="003107DF"/>
    <w:rsid w:val="0031425F"/>
    <w:rsid w:val="003214CD"/>
    <w:rsid w:val="0032161B"/>
    <w:rsid w:val="00332822"/>
    <w:rsid w:val="00334E64"/>
    <w:rsid w:val="00344975"/>
    <w:rsid w:val="00347DEF"/>
    <w:rsid w:val="003538C1"/>
    <w:rsid w:val="003573E0"/>
    <w:rsid w:val="00360070"/>
    <w:rsid w:val="00360273"/>
    <w:rsid w:val="00362B7B"/>
    <w:rsid w:val="00370141"/>
    <w:rsid w:val="00371A0D"/>
    <w:rsid w:val="00372FD4"/>
    <w:rsid w:val="0038196A"/>
    <w:rsid w:val="0038579A"/>
    <w:rsid w:val="003871AF"/>
    <w:rsid w:val="00390E1A"/>
    <w:rsid w:val="003A2999"/>
    <w:rsid w:val="003A7310"/>
    <w:rsid w:val="003B3B31"/>
    <w:rsid w:val="003B4575"/>
    <w:rsid w:val="003B6B6C"/>
    <w:rsid w:val="003B7604"/>
    <w:rsid w:val="003D4C22"/>
    <w:rsid w:val="003D63D9"/>
    <w:rsid w:val="003E0674"/>
    <w:rsid w:val="003F4109"/>
    <w:rsid w:val="00404B16"/>
    <w:rsid w:val="0040790D"/>
    <w:rsid w:val="00412C48"/>
    <w:rsid w:val="00415F9D"/>
    <w:rsid w:val="004173FA"/>
    <w:rsid w:val="0042667A"/>
    <w:rsid w:val="00432B19"/>
    <w:rsid w:val="0044067F"/>
    <w:rsid w:val="00444863"/>
    <w:rsid w:val="00445105"/>
    <w:rsid w:val="004529FC"/>
    <w:rsid w:val="00456683"/>
    <w:rsid w:val="0047186A"/>
    <w:rsid w:val="00475E45"/>
    <w:rsid w:val="00476F59"/>
    <w:rsid w:val="004842B9"/>
    <w:rsid w:val="004847E5"/>
    <w:rsid w:val="00490EF0"/>
    <w:rsid w:val="004979AF"/>
    <w:rsid w:val="004A56F7"/>
    <w:rsid w:val="004A5AAE"/>
    <w:rsid w:val="004B1E89"/>
    <w:rsid w:val="004B76E9"/>
    <w:rsid w:val="004C6820"/>
    <w:rsid w:val="004D35DE"/>
    <w:rsid w:val="004D415A"/>
    <w:rsid w:val="004D6CDF"/>
    <w:rsid w:val="004E7CDB"/>
    <w:rsid w:val="004F4209"/>
    <w:rsid w:val="00506097"/>
    <w:rsid w:val="00507D41"/>
    <w:rsid w:val="005123CF"/>
    <w:rsid w:val="005213F5"/>
    <w:rsid w:val="0053202A"/>
    <w:rsid w:val="00533F59"/>
    <w:rsid w:val="0054051E"/>
    <w:rsid w:val="005420A8"/>
    <w:rsid w:val="00546E08"/>
    <w:rsid w:val="005501A9"/>
    <w:rsid w:val="005515A2"/>
    <w:rsid w:val="005556A2"/>
    <w:rsid w:val="00560AF1"/>
    <w:rsid w:val="0056669A"/>
    <w:rsid w:val="00567751"/>
    <w:rsid w:val="0057485D"/>
    <w:rsid w:val="00582955"/>
    <w:rsid w:val="0058475F"/>
    <w:rsid w:val="00591CEE"/>
    <w:rsid w:val="005A47E0"/>
    <w:rsid w:val="005A7B60"/>
    <w:rsid w:val="005B0DB7"/>
    <w:rsid w:val="005B22AB"/>
    <w:rsid w:val="005B55A0"/>
    <w:rsid w:val="005C1B0C"/>
    <w:rsid w:val="005C1D13"/>
    <w:rsid w:val="005C33B7"/>
    <w:rsid w:val="005C5722"/>
    <w:rsid w:val="005C5E50"/>
    <w:rsid w:val="005D420B"/>
    <w:rsid w:val="005D5D0F"/>
    <w:rsid w:val="005D72CC"/>
    <w:rsid w:val="005E4321"/>
    <w:rsid w:val="005F3CA2"/>
    <w:rsid w:val="006075AC"/>
    <w:rsid w:val="00613823"/>
    <w:rsid w:val="00620002"/>
    <w:rsid w:val="00623AA4"/>
    <w:rsid w:val="00623F48"/>
    <w:rsid w:val="00626B50"/>
    <w:rsid w:val="00627471"/>
    <w:rsid w:val="00633154"/>
    <w:rsid w:val="0064497A"/>
    <w:rsid w:val="006479B7"/>
    <w:rsid w:val="00655D34"/>
    <w:rsid w:val="0065651F"/>
    <w:rsid w:val="00657A24"/>
    <w:rsid w:val="0066535D"/>
    <w:rsid w:val="00666BAA"/>
    <w:rsid w:val="00667D45"/>
    <w:rsid w:val="00674D02"/>
    <w:rsid w:val="00676D43"/>
    <w:rsid w:val="00680B58"/>
    <w:rsid w:val="00681C43"/>
    <w:rsid w:val="00681D7E"/>
    <w:rsid w:val="0068260E"/>
    <w:rsid w:val="00684FD1"/>
    <w:rsid w:val="0068687E"/>
    <w:rsid w:val="00686B7D"/>
    <w:rsid w:val="0069353A"/>
    <w:rsid w:val="006B5A60"/>
    <w:rsid w:val="006B7DFA"/>
    <w:rsid w:val="006C06EB"/>
    <w:rsid w:val="006C4C0F"/>
    <w:rsid w:val="006C6588"/>
    <w:rsid w:val="006D1D79"/>
    <w:rsid w:val="006D1D99"/>
    <w:rsid w:val="006D2AD1"/>
    <w:rsid w:val="006E374E"/>
    <w:rsid w:val="006E60B7"/>
    <w:rsid w:val="006E6747"/>
    <w:rsid w:val="006F359E"/>
    <w:rsid w:val="00706740"/>
    <w:rsid w:val="00714E60"/>
    <w:rsid w:val="00722C8E"/>
    <w:rsid w:val="007237EF"/>
    <w:rsid w:val="007271F4"/>
    <w:rsid w:val="0074728C"/>
    <w:rsid w:val="0075163A"/>
    <w:rsid w:val="007632CE"/>
    <w:rsid w:val="007847D2"/>
    <w:rsid w:val="0078590A"/>
    <w:rsid w:val="00785A69"/>
    <w:rsid w:val="00786E3B"/>
    <w:rsid w:val="00792115"/>
    <w:rsid w:val="007949B3"/>
    <w:rsid w:val="007A011F"/>
    <w:rsid w:val="007D07C4"/>
    <w:rsid w:val="007D6D4C"/>
    <w:rsid w:val="007F0041"/>
    <w:rsid w:val="007F4D68"/>
    <w:rsid w:val="007F6255"/>
    <w:rsid w:val="007F7A59"/>
    <w:rsid w:val="00801D8C"/>
    <w:rsid w:val="00824CB0"/>
    <w:rsid w:val="008250D7"/>
    <w:rsid w:val="008256E4"/>
    <w:rsid w:val="00833198"/>
    <w:rsid w:val="0083431C"/>
    <w:rsid w:val="008423D1"/>
    <w:rsid w:val="00851076"/>
    <w:rsid w:val="00856B48"/>
    <w:rsid w:val="00864303"/>
    <w:rsid w:val="00870598"/>
    <w:rsid w:val="008707DA"/>
    <w:rsid w:val="008773DE"/>
    <w:rsid w:val="00880C84"/>
    <w:rsid w:val="008947B8"/>
    <w:rsid w:val="00897F09"/>
    <w:rsid w:val="008A0367"/>
    <w:rsid w:val="008A784F"/>
    <w:rsid w:val="008B1915"/>
    <w:rsid w:val="008B34C4"/>
    <w:rsid w:val="008B7F12"/>
    <w:rsid w:val="008C769F"/>
    <w:rsid w:val="008C7D00"/>
    <w:rsid w:val="008D4F94"/>
    <w:rsid w:val="008E1681"/>
    <w:rsid w:val="009044F0"/>
    <w:rsid w:val="009124B2"/>
    <w:rsid w:val="00912973"/>
    <w:rsid w:val="00912BE4"/>
    <w:rsid w:val="00920F3A"/>
    <w:rsid w:val="00927A5A"/>
    <w:rsid w:val="009311D4"/>
    <w:rsid w:val="00933151"/>
    <w:rsid w:val="00946BF1"/>
    <w:rsid w:val="0094762C"/>
    <w:rsid w:val="00953728"/>
    <w:rsid w:val="00954E2E"/>
    <w:rsid w:val="0095535A"/>
    <w:rsid w:val="0096185A"/>
    <w:rsid w:val="00966F8B"/>
    <w:rsid w:val="00983F08"/>
    <w:rsid w:val="009906C9"/>
    <w:rsid w:val="009A1E26"/>
    <w:rsid w:val="009A596C"/>
    <w:rsid w:val="009A5ED3"/>
    <w:rsid w:val="009A7092"/>
    <w:rsid w:val="009B07DA"/>
    <w:rsid w:val="009B2C9B"/>
    <w:rsid w:val="009B3AA4"/>
    <w:rsid w:val="009C4323"/>
    <w:rsid w:val="009D1E1D"/>
    <w:rsid w:val="009D552E"/>
    <w:rsid w:val="009D59A2"/>
    <w:rsid w:val="009E10B3"/>
    <w:rsid w:val="009E5D34"/>
    <w:rsid w:val="009E6F83"/>
    <w:rsid w:val="009F0655"/>
    <w:rsid w:val="009F7B1C"/>
    <w:rsid w:val="00A051C6"/>
    <w:rsid w:val="00A05433"/>
    <w:rsid w:val="00A063D7"/>
    <w:rsid w:val="00A11E23"/>
    <w:rsid w:val="00A15D3F"/>
    <w:rsid w:val="00A21C4C"/>
    <w:rsid w:val="00A22526"/>
    <w:rsid w:val="00A240CC"/>
    <w:rsid w:val="00A274D3"/>
    <w:rsid w:val="00A356CE"/>
    <w:rsid w:val="00A41FA6"/>
    <w:rsid w:val="00A4355E"/>
    <w:rsid w:val="00A47752"/>
    <w:rsid w:val="00A62E53"/>
    <w:rsid w:val="00A64429"/>
    <w:rsid w:val="00A66134"/>
    <w:rsid w:val="00A83CBE"/>
    <w:rsid w:val="00A84814"/>
    <w:rsid w:val="00A85737"/>
    <w:rsid w:val="00A9034C"/>
    <w:rsid w:val="00A92F6D"/>
    <w:rsid w:val="00A93213"/>
    <w:rsid w:val="00A95995"/>
    <w:rsid w:val="00A95A9B"/>
    <w:rsid w:val="00A96227"/>
    <w:rsid w:val="00A97727"/>
    <w:rsid w:val="00AA23BE"/>
    <w:rsid w:val="00AA6965"/>
    <w:rsid w:val="00AB1A70"/>
    <w:rsid w:val="00AB301F"/>
    <w:rsid w:val="00AB30F1"/>
    <w:rsid w:val="00AB5FD5"/>
    <w:rsid w:val="00AB7A80"/>
    <w:rsid w:val="00AC0AAC"/>
    <w:rsid w:val="00AC2CA6"/>
    <w:rsid w:val="00AD3D71"/>
    <w:rsid w:val="00AF05A3"/>
    <w:rsid w:val="00AF0F2D"/>
    <w:rsid w:val="00AF2EAF"/>
    <w:rsid w:val="00B008E3"/>
    <w:rsid w:val="00B022B1"/>
    <w:rsid w:val="00B0253A"/>
    <w:rsid w:val="00B1286A"/>
    <w:rsid w:val="00B26E30"/>
    <w:rsid w:val="00B34D73"/>
    <w:rsid w:val="00B46218"/>
    <w:rsid w:val="00B46A99"/>
    <w:rsid w:val="00B47232"/>
    <w:rsid w:val="00B47FD8"/>
    <w:rsid w:val="00B6085F"/>
    <w:rsid w:val="00B63C40"/>
    <w:rsid w:val="00B66347"/>
    <w:rsid w:val="00B671BF"/>
    <w:rsid w:val="00B82071"/>
    <w:rsid w:val="00B83B88"/>
    <w:rsid w:val="00B856F3"/>
    <w:rsid w:val="00B86BDC"/>
    <w:rsid w:val="00B875F2"/>
    <w:rsid w:val="00B943D7"/>
    <w:rsid w:val="00B96917"/>
    <w:rsid w:val="00B97614"/>
    <w:rsid w:val="00BA13EB"/>
    <w:rsid w:val="00BA42B5"/>
    <w:rsid w:val="00BA6EB8"/>
    <w:rsid w:val="00BB290D"/>
    <w:rsid w:val="00BB7791"/>
    <w:rsid w:val="00BC361C"/>
    <w:rsid w:val="00BC7CD9"/>
    <w:rsid w:val="00BD4519"/>
    <w:rsid w:val="00BE2509"/>
    <w:rsid w:val="00C00759"/>
    <w:rsid w:val="00C032E1"/>
    <w:rsid w:val="00C062BD"/>
    <w:rsid w:val="00C133B5"/>
    <w:rsid w:val="00C14259"/>
    <w:rsid w:val="00C14966"/>
    <w:rsid w:val="00C21DBC"/>
    <w:rsid w:val="00C256DB"/>
    <w:rsid w:val="00C30F2D"/>
    <w:rsid w:val="00C312F3"/>
    <w:rsid w:val="00C31CE1"/>
    <w:rsid w:val="00C449F3"/>
    <w:rsid w:val="00C45C78"/>
    <w:rsid w:val="00C46FF1"/>
    <w:rsid w:val="00C614EA"/>
    <w:rsid w:val="00C62C17"/>
    <w:rsid w:val="00C66AB4"/>
    <w:rsid w:val="00C701B0"/>
    <w:rsid w:val="00C71FEA"/>
    <w:rsid w:val="00C7220A"/>
    <w:rsid w:val="00C77541"/>
    <w:rsid w:val="00C8196D"/>
    <w:rsid w:val="00C82F4F"/>
    <w:rsid w:val="00C84847"/>
    <w:rsid w:val="00C94B7E"/>
    <w:rsid w:val="00CA1937"/>
    <w:rsid w:val="00CA41F6"/>
    <w:rsid w:val="00CA5809"/>
    <w:rsid w:val="00CA7062"/>
    <w:rsid w:val="00CB43D3"/>
    <w:rsid w:val="00CB49A2"/>
    <w:rsid w:val="00CB4AD3"/>
    <w:rsid w:val="00CB69CC"/>
    <w:rsid w:val="00CC1A92"/>
    <w:rsid w:val="00CC1BBE"/>
    <w:rsid w:val="00CC490D"/>
    <w:rsid w:val="00CC55EF"/>
    <w:rsid w:val="00CC5E6E"/>
    <w:rsid w:val="00CC6C50"/>
    <w:rsid w:val="00CD0C07"/>
    <w:rsid w:val="00CD63D6"/>
    <w:rsid w:val="00CE383F"/>
    <w:rsid w:val="00CE5985"/>
    <w:rsid w:val="00CE7A5A"/>
    <w:rsid w:val="00CF3FFE"/>
    <w:rsid w:val="00D11AEE"/>
    <w:rsid w:val="00D1460B"/>
    <w:rsid w:val="00D22047"/>
    <w:rsid w:val="00D23564"/>
    <w:rsid w:val="00D2388B"/>
    <w:rsid w:val="00D23AB4"/>
    <w:rsid w:val="00D24AA8"/>
    <w:rsid w:val="00D25599"/>
    <w:rsid w:val="00D44740"/>
    <w:rsid w:val="00D45218"/>
    <w:rsid w:val="00D5001B"/>
    <w:rsid w:val="00D653FF"/>
    <w:rsid w:val="00D65C3B"/>
    <w:rsid w:val="00D73BE3"/>
    <w:rsid w:val="00D779DE"/>
    <w:rsid w:val="00D8417D"/>
    <w:rsid w:val="00D97047"/>
    <w:rsid w:val="00DA3FD8"/>
    <w:rsid w:val="00DA4BF1"/>
    <w:rsid w:val="00DA5FE2"/>
    <w:rsid w:val="00DB009A"/>
    <w:rsid w:val="00DB20A5"/>
    <w:rsid w:val="00DB63E7"/>
    <w:rsid w:val="00DC1DDC"/>
    <w:rsid w:val="00DC3B9C"/>
    <w:rsid w:val="00DC7A7E"/>
    <w:rsid w:val="00DD2A94"/>
    <w:rsid w:val="00DD55E4"/>
    <w:rsid w:val="00DE1E13"/>
    <w:rsid w:val="00E05B59"/>
    <w:rsid w:val="00E101F1"/>
    <w:rsid w:val="00E277C5"/>
    <w:rsid w:val="00E27EA1"/>
    <w:rsid w:val="00E3058B"/>
    <w:rsid w:val="00E37557"/>
    <w:rsid w:val="00E54EE4"/>
    <w:rsid w:val="00E65FD5"/>
    <w:rsid w:val="00E676E1"/>
    <w:rsid w:val="00E72258"/>
    <w:rsid w:val="00E73184"/>
    <w:rsid w:val="00E90E94"/>
    <w:rsid w:val="00E93B47"/>
    <w:rsid w:val="00EA19E4"/>
    <w:rsid w:val="00EA3AAE"/>
    <w:rsid w:val="00EA613C"/>
    <w:rsid w:val="00EA6408"/>
    <w:rsid w:val="00EB1824"/>
    <w:rsid w:val="00EB2C3F"/>
    <w:rsid w:val="00EC2FC0"/>
    <w:rsid w:val="00ED7916"/>
    <w:rsid w:val="00EE0ADA"/>
    <w:rsid w:val="00EE2085"/>
    <w:rsid w:val="00EE2905"/>
    <w:rsid w:val="00EE3A06"/>
    <w:rsid w:val="00EE46DC"/>
    <w:rsid w:val="00EE586C"/>
    <w:rsid w:val="00EF36F1"/>
    <w:rsid w:val="00EF6C26"/>
    <w:rsid w:val="00F028E3"/>
    <w:rsid w:val="00F06D3B"/>
    <w:rsid w:val="00F10880"/>
    <w:rsid w:val="00F2758A"/>
    <w:rsid w:val="00F3110E"/>
    <w:rsid w:val="00F34B82"/>
    <w:rsid w:val="00F3589A"/>
    <w:rsid w:val="00F37F1A"/>
    <w:rsid w:val="00F44F70"/>
    <w:rsid w:val="00F5308E"/>
    <w:rsid w:val="00F55BEF"/>
    <w:rsid w:val="00F567F9"/>
    <w:rsid w:val="00F77EDA"/>
    <w:rsid w:val="00F8075F"/>
    <w:rsid w:val="00F83691"/>
    <w:rsid w:val="00F84AF2"/>
    <w:rsid w:val="00F959E0"/>
    <w:rsid w:val="00FA27DC"/>
    <w:rsid w:val="00FB373F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3A2999"/>
    <w:pPr>
      <w:spacing w:after="0" w:line="240" w:lineRule="auto"/>
    </w:pPr>
  </w:style>
  <w:style w:type="character" w:customStyle="1" w:styleId="st">
    <w:name w:val="st"/>
    <w:basedOn w:val="DefaultParagraphFont"/>
    <w:rsid w:val="00CA5809"/>
  </w:style>
  <w:style w:type="paragraph" w:customStyle="1" w:styleId="s4-wptoptable1">
    <w:name w:val="s4-wptoptable1"/>
    <w:basedOn w:val="Normal"/>
    <w:rsid w:val="00D2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3A2999"/>
    <w:pPr>
      <w:spacing w:after="0" w:line="240" w:lineRule="auto"/>
    </w:pPr>
  </w:style>
  <w:style w:type="character" w:customStyle="1" w:styleId="st">
    <w:name w:val="st"/>
    <w:basedOn w:val="DefaultParagraphFont"/>
    <w:rsid w:val="00CA5809"/>
  </w:style>
  <w:style w:type="paragraph" w:customStyle="1" w:styleId="s4-wptoptable1">
    <w:name w:val="s4-wptoptable1"/>
    <w:basedOn w:val="Normal"/>
    <w:rsid w:val="00D2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51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spnavigation.respondcrm.com/AppViewer.html?q=https://311prkb.respondcrm.com/respondweb/Informaci&#243;n%20Adicional%20de%20ADSEF/ADSEF-001-Informacion%20General%20de%20la%20ADSEF.pdf" TargetMode="External"/><Relationship Id="rId26" Type="http://schemas.openxmlformats.org/officeDocument/2006/relationships/hyperlink" Target="http://www.asume.gobierno.p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milia.gobierno.pr/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nformaci&#243;n%20General%20de%20la%20CIRIO/CIRIO-001-Informacion%20General%20de%20la%20CIRIO.pdf" TargetMode="External"/><Relationship Id="rId25" Type="http://schemas.openxmlformats.org/officeDocument/2006/relationships/hyperlink" Target="http://www.adsef.gobierno.p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&#243;n%20General%20de%20ADFAN/ADFAN-001-Informacion%20General%20de%20la%20ADFAN.pdf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familia.gobierno.pr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formaci&#243;n%20General%20de%20ACUDEN/ACUDEN-001-Informacion%20General%20de%20ACUDEN.pdf" TargetMode="External"/><Relationship Id="rId23" Type="http://schemas.openxmlformats.org/officeDocument/2006/relationships/hyperlink" Target="http://www.adfan.gobierno.pr/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&#243;n%20Adicional%20de%20ASUME/ASUME-001-Informacion%20General%20Servicios%20Ofrecidos%20por%20ASUME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acuden.gobierno.pr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882D-AA6A-4A28-97FA-11AFD24B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8EF94-B031-4875-BA13-2D75D66AC74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AD7985C-F24F-44D3-9342-8CC0C1D79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F527A-7320-410A-AC5C-35A7BB42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la Familia (DF)</vt:lpstr>
    </vt:vector>
  </TitlesOfParts>
  <Company>Hewlett-Packard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la Familia (DF)</dc:title>
  <dc:subject>Información General</dc:subject>
  <dc:creator>3-1-1 Tu Línea de Servicios de Gobierno</dc:creator>
  <cp:keywords>DF</cp:keywords>
  <cp:lastModifiedBy>respondadmin</cp:lastModifiedBy>
  <cp:revision>7</cp:revision>
  <cp:lastPrinted>2012-09-28T13:16:00Z</cp:lastPrinted>
  <dcterms:created xsi:type="dcterms:W3CDTF">2012-09-28T15:34:00Z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