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BA0917" wp14:editId="44FBAE1E">
                  <wp:extent cx="267335" cy="276225"/>
                  <wp:effectExtent l="19050" t="0" r="0" b="0"/>
                  <wp:docPr id="1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0A375B" w:rsidRDefault="0049566C" w:rsidP="000A375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B50F6C">
        <w:rPr>
          <w:rFonts w:asciiTheme="minorHAnsi" w:hAnsiTheme="minorHAnsi" w:cs="Arial"/>
          <w:noProof/>
          <w:color w:val="000000"/>
          <w:sz w:val="22"/>
          <w:szCs w:val="22"/>
        </w:rPr>
        <w:t xml:space="preserve">La Administración de Desarrollo Laboral </w:t>
      </w:r>
      <w:r w:rsidR="00BB0603">
        <w:rPr>
          <w:rFonts w:asciiTheme="minorHAnsi" w:hAnsiTheme="minorHAnsi" w:cs="Arial"/>
          <w:noProof/>
          <w:color w:val="000000"/>
          <w:sz w:val="22"/>
          <w:szCs w:val="22"/>
        </w:rPr>
        <w:t>(ADL</w:t>
      </w:r>
      <w:r w:rsidR="00052740" w:rsidRPr="00B50F6C">
        <w:rPr>
          <w:rFonts w:asciiTheme="minorHAnsi" w:hAnsiTheme="minorHAnsi" w:cs="Arial"/>
          <w:noProof/>
          <w:color w:val="000000"/>
          <w:sz w:val="22"/>
          <w:szCs w:val="22"/>
        </w:rPr>
        <w:t xml:space="preserve">) </w:t>
      </w:r>
      <w:r w:rsidR="00B50F6C">
        <w:rPr>
          <w:rFonts w:asciiTheme="minorHAnsi" w:hAnsiTheme="minorHAnsi" w:cs="Arial"/>
          <w:noProof/>
          <w:color w:val="000000"/>
          <w:sz w:val="22"/>
          <w:szCs w:val="22"/>
        </w:rPr>
        <w:t xml:space="preserve">se ocupa </w:t>
      </w:r>
      <w:r w:rsidR="000A375B">
        <w:rPr>
          <w:rFonts w:asciiTheme="minorHAnsi" w:hAnsiTheme="minorHAnsi" w:cs="Arial"/>
          <w:noProof/>
          <w:color w:val="000000"/>
          <w:sz w:val="22"/>
          <w:szCs w:val="22"/>
        </w:rPr>
        <w:t>de a</w:t>
      </w:r>
      <w:r w:rsidR="000A375B" w:rsidRPr="000A375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dministrar los fondos bajo el Título I de la Ley de Inversión en la Fuerza Trabajadora (WIA por sus siglas en inglés).</w:t>
      </w:r>
    </w:p>
    <w:p w:rsidR="005941CF" w:rsidRDefault="005941CF" w:rsidP="000A375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El Titulo I se basa en los siguientes elementos:</w:t>
      </w:r>
    </w:p>
    <w:p w:rsidR="005941CF" w:rsidRPr="005941CF" w:rsidRDefault="005941CF" w:rsidP="005941CF">
      <w:pPr>
        <w:pStyle w:val="NormalWeb"/>
        <w:numPr>
          <w:ilvl w:val="0"/>
          <w:numId w:val="34"/>
        </w:numPr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Programas de Adiestramiento y Empleo deben ser diseñados y manejados a nivel local, donde las necesidades de los patronos y las personas son entendidas. </w:t>
      </w:r>
    </w:p>
    <w:p w:rsidR="005941CF" w:rsidRPr="005941CF" w:rsidRDefault="005941CF" w:rsidP="005941CF">
      <w:pPr>
        <w:pStyle w:val="NormalWeb"/>
        <w:numPr>
          <w:ilvl w:val="0"/>
          <w:numId w:val="34"/>
        </w:numPr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Los clientes deben poder y convenientemente acceder a servicios de empleo, educación, adiestramiento e información que necesiten en una localización en sus vecindarios. </w:t>
      </w:r>
    </w:p>
    <w:p w:rsidR="005941CF" w:rsidRPr="005941CF" w:rsidRDefault="005941CF" w:rsidP="005941CF">
      <w:pPr>
        <w:pStyle w:val="NormalWeb"/>
        <w:numPr>
          <w:ilvl w:val="0"/>
          <w:numId w:val="34"/>
        </w:numPr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Los clientes deben tener opciones para decidir sobre programas de adiestramiento, que se adapten a sus necesidades y a las organizaciones que le provean dichos servicios. </w:t>
      </w:r>
    </w:p>
    <w:p w:rsidR="005941CF" w:rsidRPr="005941CF" w:rsidRDefault="005941CF" w:rsidP="005941CF">
      <w:pPr>
        <w:pStyle w:val="NormalWeb"/>
        <w:numPr>
          <w:ilvl w:val="0"/>
          <w:numId w:val="34"/>
        </w:numPr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Los clientes tienen el derecho a obtener información sobre el desempeño de los proveedores de servicios de adiestramiento para preparar a las personas en trabajos. Los proveedores de servicio de adiestramiento proveer</w:t>
      </w:r>
      <w:r w:rsidR="00647DB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á</w:t>
      </w: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n información sobre los indicadores de éxito. </w:t>
      </w:r>
    </w:p>
    <w:p w:rsidR="005941CF" w:rsidRPr="005941CF" w:rsidRDefault="005941CF" w:rsidP="000A375B">
      <w:pPr>
        <w:pStyle w:val="NormalWeb"/>
        <w:numPr>
          <w:ilvl w:val="0"/>
          <w:numId w:val="34"/>
        </w:numPr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Los Patronos proveer</w:t>
      </w:r>
      <w:r w:rsidR="00647DB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á</w:t>
      </w:r>
      <w:r w:rsidRPr="005941C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n información, liderazgo y jugarón un rol activo, asegurando que el sistema prepare a las personas para trabajos de hoy y del futuro. </w:t>
      </w:r>
    </w:p>
    <w:p w:rsidR="000A375B" w:rsidRPr="00B50F6C" w:rsidRDefault="000A375B" w:rsidP="00080975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t>E</w:t>
      </w:r>
      <w:r w:rsidRPr="000A375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 el principal organismo asesor del desarrollo ocupacional para mantener a Puerto Rico competitivo ante la demanda de una economía globalizada.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50F6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B50F6C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50F6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E6F4582" wp14:editId="6DCA6A56">
                  <wp:extent cx="276225" cy="276225"/>
                  <wp:effectExtent l="19050" t="0" r="9525" b="0"/>
                  <wp:docPr id="1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B50F6C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50F6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B50F6C" w:rsidRDefault="00361420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880079">
          <w:rPr>
            <w:rStyle w:val="Hyperlink"/>
            <w:rFonts w:cs="Arial"/>
            <w:noProof/>
          </w:rPr>
          <w:t>Directorio de la ADL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50F6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B50F6C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50F6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95E447B" wp14:editId="0075D112">
                  <wp:extent cx="276225" cy="276225"/>
                  <wp:effectExtent l="19050" t="0" r="9525" b="0"/>
                  <wp:docPr id="2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F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B50F6C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50F6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B50F6C" w:rsidRDefault="0049566C" w:rsidP="00080975">
      <w:pPr>
        <w:spacing w:before="120" w:after="120" w:line="240" w:lineRule="auto"/>
        <w:rPr>
          <w:rFonts w:eastAsia="Times New Roman" w:cs="Arial"/>
          <w:color w:val="000000"/>
        </w:rPr>
      </w:pPr>
      <w:r w:rsidRPr="00B50F6C">
        <w:rPr>
          <w:rFonts w:eastAsia="Times New Roman" w:cs="Arial"/>
          <w:color w:val="000000"/>
        </w:rPr>
        <w:t>Algunos de los servicios ofrecidos por la agencia son los siguientes:</w:t>
      </w:r>
    </w:p>
    <w:p w:rsidR="00B878FB" w:rsidRPr="00B878FB" w:rsidRDefault="00B878FB" w:rsidP="0099557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>
        <w:rPr>
          <w:rFonts w:cs="Calibri"/>
          <w:color w:val="000000"/>
        </w:rPr>
        <w:t>Servicios a Empleados o Personas que buscan empleo</w:t>
      </w:r>
    </w:p>
    <w:p w:rsidR="000A375B" w:rsidRPr="000A375B" w:rsidRDefault="003B3ACE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50F6C">
        <w:rPr>
          <w:rFonts w:cs="Calibri"/>
          <w:color w:val="000000"/>
        </w:rPr>
        <w:t>Planificar, coordinar y administrar estrategias dirigidas al desarrollo ocupacional y fortalecimiento de la fuerza trabajadora.</w:t>
      </w:r>
      <w:bookmarkStart w:id="1" w:name="PROG1189"/>
    </w:p>
    <w:p w:rsidR="000A375B" w:rsidRPr="000A375B" w:rsidRDefault="000A375B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>
        <w:rPr>
          <w:rFonts w:cs="Calibri"/>
          <w:color w:val="000000"/>
        </w:rPr>
        <w:t>Búsqueda de oportunidades de empleo en PR</w:t>
      </w:r>
    </w:p>
    <w:p w:rsidR="000A375B" w:rsidRPr="00161DC4" w:rsidRDefault="000A375B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Búsqueda de oportunidades de empleo que el Gobierno Federal tiene en Puerto Rico</w:t>
      </w:r>
    </w:p>
    <w:p w:rsidR="00161DC4" w:rsidRDefault="00161DC4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Oportunidades de adiestramientos – cuentan con</w:t>
      </w:r>
      <w:r w:rsidRPr="00161DC4">
        <w:rPr>
          <w:rFonts w:cs="Calibri"/>
          <w:color w:val="000000"/>
        </w:rPr>
        <w:t xml:space="preserve"> una red de Consorcios Municipales </w:t>
      </w:r>
      <w:r>
        <w:rPr>
          <w:rFonts w:cs="Calibri"/>
          <w:color w:val="000000"/>
        </w:rPr>
        <w:t xml:space="preserve">con los </w:t>
      </w:r>
      <w:r w:rsidRPr="00161DC4">
        <w:rPr>
          <w:rFonts w:cs="Calibri"/>
          <w:color w:val="000000"/>
        </w:rPr>
        <w:t xml:space="preserve">que </w:t>
      </w:r>
      <w:r>
        <w:rPr>
          <w:rFonts w:cs="Calibri"/>
          <w:color w:val="000000"/>
        </w:rPr>
        <w:t xml:space="preserve">pueden </w:t>
      </w:r>
      <w:r w:rsidRPr="00161DC4">
        <w:rPr>
          <w:rFonts w:cs="Calibri"/>
          <w:color w:val="000000"/>
        </w:rPr>
        <w:t>identificar</w:t>
      </w:r>
      <w:r>
        <w:rPr>
          <w:rFonts w:cs="Calibri"/>
          <w:color w:val="000000"/>
        </w:rPr>
        <w:t>se</w:t>
      </w:r>
      <w:r w:rsidRPr="00161DC4">
        <w:rPr>
          <w:rFonts w:cs="Calibri"/>
          <w:color w:val="000000"/>
        </w:rPr>
        <w:t xml:space="preserve"> oportunidades de </w:t>
      </w:r>
      <w:r>
        <w:rPr>
          <w:rFonts w:cs="Calibri"/>
          <w:color w:val="000000"/>
        </w:rPr>
        <w:t>a</w:t>
      </w:r>
      <w:r w:rsidRPr="00161DC4">
        <w:rPr>
          <w:rFonts w:cs="Calibri"/>
          <w:color w:val="000000"/>
        </w:rPr>
        <w:t>diestramiento y empleo para jóvenes, adul</w:t>
      </w:r>
      <w:r>
        <w:rPr>
          <w:rFonts w:cs="Calibri"/>
          <w:color w:val="000000"/>
        </w:rPr>
        <w:t>tos y trabajadores desplazados.</w:t>
      </w:r>
    </w:p>
    <w:p w:rsidR="00161DC4" w:rsidRDefault="00161DC4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Orientación de como lograr un nuevo empleo.</w:t>
      </w:r>
    </w:p>
    <w:p w:rsidR="00161DC4" w:rsidRDefault="00161DC4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Solicitar beneficios de seguro por desempleo </w:t>
      </w:r>
    </w:p>
    <w:p w:rsidR="00161DC4" w:rsidRDefault="00161DC4" w:rsidP="0048521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Ayuda Legal y Querellas</w:t>
      </w:r>
    </w:p>
    <w:p w:rsidR="00161DC4" w:rsidRPr="00161DC4" w:rsidRDefault="00161DC4" w:rsidP="0048521C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>
        <w:rPr>
          <w:rFonts w:cs="Calibri"/>
          <w:color w:val="000000"/>
        </w:rPr>
        <w:t>V</w:t>
      </w:r>
      <w:r>
        <w:rPr>
          <w:rFonts w:cs="Calibri"/>
          <w:color w:val="000000"/>
          <w:lang w:val="es-PR"/>
        </w:rPr>
        <w:t>ela</w:t>
      </w:r>
      <w:r w:rsidRPr="00161DC4">
        <w:rPr>
          <w:rFonts w:cs="Calibri"/>
          <w:color w:val="000000"/>
          <w:lang w:val="es-PR"/>
        </w:rPr>
        <w:t xml:space="preserve"> por el cumplimiento de la legislación protectora del trabajo y representa a los trabajadores en conflictos laborales. </w:t>
      </w:r>
    </w:p>
    <w:p w:rsidR="00161DC4" w:rsidRPr="00161DC4" w:rsidRDefault="00161DC4" w:rsidP="00B878FB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161DC4">
        <w:rPr>
          <w:rFonts w:cs="Calibri"/>
          <w:color w:val="000000"/>
          <w:lang w:val="es-PR"/>
        </w:rPr>
        <w:lastRenderedPageBreak/>
        <w:t xml:space="preserve">Provee asesoramiento legal y orientación a trabajadores y patronos. </w:t>
      </w:r>
    </w:p>
    <w:p w:rsidR="00161DC4" w:rsidRPr="00161DC4" w:rsidRDefault="00161DC4" w:rsidP="00B878FB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161DC4">
        <w:rPr>
          <w:rFonts w:cs="Calibri"/>
          <w:color w:val="000000"/>
          <w:lang w:val="es-PR"/>
        </w:rPr>
        <w:t xml:space="preserve">Ofrece a los trabajadores representación legal en los tribunales. </w:t>
      </w:r>
    </w:p>
    <w:p w:rsidR="00161DC4" w:rsidRPr="00161DC4" w:rsidRDefault="00161DC4" w:rsidP="00B878FB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161DC4">
        <w:rPr>
          <w:rFonts w:cs="Calibri"/>
          <w:color w:val="000000"/>
          <w:lang w:val="es-PR"/>
        </w:rPr>
        <w:t xml:space="preserve">Tramita la ejecución de sentencias dictadas por los tribunales a favor de los trabajadores. </w:t>
      </w:r>
    </w:p>
    <w:p w:rsidR="00161DC4" w:rsidRPr="00161DC4" w:rsidRDefault="00161DC4" w:rsidP="00B878FB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161DC4">
        <w:rPr>
          <w:rFonts w:cs="Calibri"/>
          <w:color w:val="000000"/>
          <w:lang w:val="es-PR"/>
        </w:rPr>
        <w:t xml:space="preserve">Comparece a los procedimientos llevados a cabo ante el tribunal de quiebras y algunos foros administrativos. </w:t>
      </w:r>
    </w:p>
    <w:p w:rsidR="00CF2C92" w:rsidRPr="00B878FB" w:rsidRDefault="00CF2C92" w:rsidP="00CF2C9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>
        <w:rPr>
          <w:rFonts w:cs="Calibri"/>
          <w:color w:val="000000"/>
        </w:rPr>
        <w:t xml:space="preserve">Servicios a Patronos </w:t>
      </w:r>
    </w:p>
    <w:bookmarkEnd w:id="1"/>
    <w:p w:rsidR="00DB7394" w:rsidRPr="00DB7394" w:rsidRDefault="00DB7394" w:rsidP="00A2513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  <w:sectPr w:rsidR="00DB7394" w:rsidRPr="00DB7394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lastRenderedPageBreak/>
        <w:t>Contacto con patronos potenciales, con el propósito de colocar en empleo a participantes de WIA.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Participación dentro de Asociaciones de Negocios (Tal cómo Cámaras de Comercio), Asociaciones Laborales y Centros de Recursos.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Participación del Personal del Consejo y del Sistema de Gestión única WIA, en Juntas y Comisiones de Desarrollo Económico, incluyendo trabajo en Agencias de Desarrollo Económico para;</w:t>
      </w:r>
    </w:p>
    <w:p w:rsidR="00BB0C8C" w:rsidRPr="00BB0C8C" w:rsidRDefault="00BB0C8C" w:rsidP="00BB0C8C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BB0C8C">
        <w:rPr>
          <w:rFonts w:cs="Calibri"/>
          <w:color w:val="000000"/>
          <w:lang w:val="es-PR"/>
        </w:rPr>
        <w:t>Proveer información sobre los programas de WIA</w:t>
      </w:r>
    </w:p>
    <w:p w:rsidR="00BB0C8C" w:rsidRPr="00BB0C8C" w:rsidRDefault="00BB0C8C" w:rsidP="00BB0C8C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BB0C8C">
        <w:rPr>
          <w:rFonts w:cs="Calibri"/>
          <w:color w:val="000000"/>
          <w:lang w:val="es-PR"/>
        </w:rPr>
        <w:t>Asistir para que se tomen decisiones informadas sobre las necesidades de adiestramiento para empleos de la comunidad;</w:t>
      </w:r>
    </w:p>
    <w:p w:rsidR="00BB0C8C" w:rsidRPr="00BB0C8C" w:rsidRDefault="00BB0C8C" w:rsidP="00BB0C8C">
      <w:pPr>
        <w:pStyle w:val="ListParagraph"/>
        <w:numPr>
          <w:ilvl w:val="2"/>
          <w:numId w:val="30"/>
        </w:numPr>
        <w:spacing w:before="120" w:after="120" w:line="240" w:lineRule="auto"/>
        <w:contextualSpacing w:val="0"/>
        <w:rPr>
          <w:rFonts w:cs="Calibri"/>
          <w:color w:val="000000"/>
          <w:lang w:val="es-PR"/>
        </w:rPr>
      </w:pPr>
      <w:r w:rsidRPr="00BB0C8C">
        <w:rPr>
          <w:rFonts w:cs="Calibri"/>
          <w:color w:val="000000"/>
          <w:lang w:val="es-PR"/>
        </w:rPr>
        <w:t>Promover el uso de acuerdos sobre prioridades sobre reclutamiento.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Participación activa en los centros locales de recursos para negocios (incubadoras) para proveer asistencia técnica a los PYMES y así reducir la tasa de fracasos de negocios;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Subscripción a publicaciones relevantes;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Diseminación general de información sobre los programas y actividades de WIA;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Llevar a cabo encuestas sobre el Mercado Laboral;</w:t>
      </w:r>
    </w:p>
    <w:p w:rsidR="00BB0C8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>El desarrollo de oportunidades de Adiestramiento en el Empleo; y</w:t>
      </w:r>
    </w:p>
    <w:p w:rsidR="0049566C" w:rsidRPr="00BB0C8C" w:rsidRDefault="00BB0C8C" w:rsidP="00BB0C8C">
      <w:pPr>
        <w:pStyle w:val="ListParagraph"/>
        <w:numPr>
          <w:ilvl w:val="1"/>
          <w:numId w:val="30"/>
        </w:numPr>
        <w:spacing w:before="120" w:after="120" w:line="240" w:lineRule="auto"/>
        <w:contextualSpacing w:val="0"/>
        <w:rPr>
          <w:rFonts w:cs="Calibri"/>
          <w:color w:val="000000"/>
        </w:rPr>
      </w:pPr>
      <w:r w:rsidRPr="00BB0C8C">
        <w:rPr>
          <w:rFonts w:cs="Calibri"/>
          <w:color w:val="000000"/>
        </w:rPr>
        <w:t xml:space="preserve">Otras actividades permitidas por WIA en el sector privado. (Sec. 181(e) de WIA) </w:t>
      </w:r>
    </w:p>
    <w:sectPr w:rsidR="0049566C" w:rsidRPr="00BB0C8C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68" w:rsidRDefault="00241568" w:rsidP="005501A9">
      <w:pPr>
        <w:spacing w:after="0" w:line="240" w:lineRule="auto"/>
      </w:pPr>
      <w:r>
        <w:separator/>
      </w:r>
    </w:p>
  </w:endnote>
  <w:endnote w:type="continuationSeparator" w:id="0">
    <w:p w:rsidR="00241568" w:rsidRDefault="0024156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79" w:rsidRDefault="00880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79744" behindDoc="0" locked="0" layoutInCell="1" allowOverlap="1" wp14:anchorId="40E0F6E0" wp14:editId="116BCE2A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2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FD0CC1D" wp14:editId="383370D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46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5.9pt;margin-top:3.1pt;width:471.3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cm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DA1bcm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8B578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8B5788"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</w:rPr>
          </w:pPr>
          <w:r w:rsidRPr="00A625BF">
            <w:rPr>
              <w:rFonts w:asciiTheme="minorHAnsi" w:eastAsiaTheme="minorHAnsi" w:hAnsiTheme="minorHAnsi" w:cstheme="minorBidi"/>
            </w:rPr>
            <w:t xml:space="preserve">Página </w:t>
          </w:r>
          <w:r>
            <w:rPr>
              <w:rFonts w:asciiTheme="minorHAnsi" w:eastAsiaTheme="minorHAnsi" w:hAnsiTheme="minorHAnsi" w:cstheme="minorBidi"/>
            </w:rPr>
            <w:t>1</w:t>
          </w:r>
          <w:r w:rsidRPr="00A625BF">
            <w:rPr>
              <w:rFonts w:asciiTheme="minorHAnsi" w:eastAsiaTheme="minorHAnsi" w:hAnsiTheme="minorHAnsi" w:cstheme="minorBidi"/>
            </w:rPr>
            <w:t xml:space="preserve"> de </w:t>
          </w:r>
          <w:r>
            <w:rPr>
              <w:rFonts w:asciiTheme="minorHAnsi" w:eastAsiaTheme="minorHAnsi" w:hAnsiTheme="minorHAnsi" w:cstheme="minorBidi"/>
            </w:rPr>
            <w:t>1</w:t>
          </w:r>
          <w:r w:rsidRPr="00A625BF">
            <w:rPr>
              <w:rFonts w:asciiTheme="minorHAnsi" w:eastAsiaTheme="minorHAnsi" w:hAnsiTheme="minorHAnsi" w:cstheme="minorBidi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79" w:rsidRDefault="008800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A625BF">
            <w:rPr>
              <w:rFonts w:asciiTheme="minorHAnsi" w:eastAsiaTheme="minorHAnsi" w:hAnsiTheme="minorHAnsi" w:cstheme="minorBidi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</w:rPr>
          </w:pPr>
          <w:r w:rsidRPr="00A625BF">
            <w:rPr>
              <w:rFonts w:asciiTheme="minorHAnsi" w:eastAsiaTheme="minorHAnsi" w:hAnsiTheme="minorHAnsi" w:cstheme="minorBidi"/>
            </w:rPr>
            <w:t xml:space="preserve">Página </w:t>
          </w:r>
          <w:r>
            <w:rPr>
              <w:rFonts w:asciiTheme="minorHAnsi" w:eastAsiaTheme="minorHAnsi" w:hAnsiTheme="minorHAnsi" w:cstheme="minorBidi"/>
            </w:rPr>
            <w:t>1</w:t>
          </w:r>
          <w:r w:rsidRPr="00A625BF">
            <w:rPr>
              <w:rFonts w:asciiTheme="minorHAnsi" w:eastAsiaTheme="minorHAnsi" w:hAnsiTheme="minorHAnsi" w:cstheme="minorBidi"/>
            </w:rPr>
            <w:t xml:space="preserve"> de </w:t>
          </w:r>
          <w:r>
            <w:rPr>
              <w:rFonts w:asciiTheme="minorHAnsi" w:eastAsiaTheme="minorHAnsi" w:hAnsiTheme="minorHAnsi" w:cstheme="minorBidi"/>
            </w:rPr>
            <w:t>1</w:t>
          </w:r>
          <w:r w:rsidRPr="00A625BF">
            <w:rPr>
              <w:rFonts w:asciiTheme="minorHAnsi" w:eastAsiaTheme="minorHAnsi" w:hAnsiTheme="minorHAnsi" w:cstheme="minorBidi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68" w:rsidRDefault="00241568" w:rsidP="005501A9">
      <w:pPr>
        <w:spacing w:after="0" w:line="240" w:lineRule="auto"/>
      </w:pPr>
      <w:r>
        <w:separator/>
      </w:r>
    </w:p>
  </w:footnote>
  <w:footnote w:type="continuationSeparator" w:id="0">
    <w:p w:rsidR="00241568" w:rsidRDefault="0024156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79" w:rsidRDefault="00880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873912" wp14:editId="4AA541F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84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BB060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ADL</w:t>
                          </w:r>
                          <w:r w:rsidR="001C0483">
                            <w:rPr>
                              <w:sz w:val="16"/>
                              <w:szCs w:val="16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9.5pt;margin-top:6.65pt;width:82.7pt;height:27.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fjtPcC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BB060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ADL</w:t>
                    </w:r>
                    <w:r w:rsidR="001C0483">
                      <w:rPr>
                        <w:sz w:val="16"/>
                        <w:szCs w:val="16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15B2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</w:rPr>
      <w:t>Administración de Desarrollo Laboral</w:t>
    </w:r>
    <w:r w:rsidR="00CC05A1">
      <w:rPr>
        <w:noProof/>
        <w:sz w:val="32"/>
        <w:szCs w:val="32"/>
      </w:rPr>
      <w:t xml:space="preserve"> </w:t>
    </w:r>
    <w:r w:rsidR="00052740">
      <w:rPr>
        <w:sz w:val="32"/>
        <w:szCs w:val="32"/>
      </w:rPr>
      <w:t>(</w:t>
    </w:r>
    <w:r w:rsidR="00AC548F">
      <w:rPr>
        <w:sz w:val="32"/>
        <w:szCs w:val="32"/>
      </w:rPr>
      <w:t>ADL</w:t>
    </w:r>
    <w:r w:rsidR="00052740">
      <w:rPr>
        <w:sz w:val="32"/>
        <w:szCs w:val="32"/>
      </w:rPr>
      <w:t>)</w:t>
    </w:r>
  </w:p>
  <w:p w:rsidR="001C0483" w:rsidRDefault="001C0483" w:rsidP="0047186A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</w:rPr>
    </w:pPr>
    <w:r w:rsidRPr="00F240F5">
      <w:rPr>
        <w:b/>
        <w:sz w:val="28"/>
        <w:szCs w:val="28"/>
        <w:highlight w:val="yellow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79" w:rsidRDefault="008800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</w:rPr>
                      <w:t>CDC</w:t>
                    </w:r>
                    <w:r>
                      <w:rPr>
                        <w:sz w:val="16"/>
                        <w:szCs w:val="16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15B2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</w:rPr>
      <w:t>Comisión de Derechos Civiles</w:t>
    </w:r>
    <w:r w:rsidR="001C0483">
      <w:rPr>
        <w:sz w:val="32"/>
        <w:szCs w:val="32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</w:rPr>
    </w:pPr>
    <w:r w:rsidRPr="00F240F5">
      <w:rPr>
        <w:b/>
        <w:sz w:val="28"/>
        <w:szCs w:val="28"/>
        <w:highlight w:val="yellow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6393"/>
    <w:multiLevelType w:val="multilevel"/>
    <w:tmpl w:val="75F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6B5E"/>
    <w:multiLevelType w:val="hybridMultilevel"/>
    <w:tmpl w:val="665AE5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C31"/>
    <w:multiLevelType w:val="multilevel"/>
    <w:tmpl w:val="801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96B07"/>
    <w:multiLevelType w:val="multilevel"/>
    <w:tmpl w:val="5A2A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8364B"/>
    <w:multiLevelType w:val="hybridMultilevel"/>
    <w:tmpl w:val="469098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3F3B79"/>
    <w:multiLevelType w:val="multilevel"/>
    <w:tmpl w:val="C7B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34"/>
  </w:num>
  <w:num w:numId="5">
    <w:abstractNumId w:val="19"/>
  </w:num>
  <w:num w:numId="6">
    <w:abstractNumId w:val="14"/>
  </w:num>
  <w:num w:numId="7">
    <w:abstractNumId w:val="23"/>
  </w:num>
  <w:num w:numId="8">
    <w:abstractNumId w:val="11"/>
  </w:num>
  <w:num w:numId="9">
    <w:abstractNumId w:val="26"/>
  </w:num>
  <w:num w:numId="10">
    <w:abstractNumId w:val="10"/>
  </w:num>
  <w:num w:numId="11">
    <w:abstractNumId w:val="1"/>
  </w:num>
  <w:num w:numId="12">
    <w:abstractNumId w:val="32"/>
  </w:num>
  <w:num w:numId="13">
    <w:abstractNumId w:val="4"/>
  </w:num>
  <w:num w:numId="14">
    <w:abstractNumId w:val="27"/>
  </w:num>
  <w:num w:numId="15">
    <w:abstractNumId w:val="6"/>
  </w:num>
  <w:num w:numId="16">
    <w:abstractNumId w:val="22"/>
  </w:num>
  <w:num w:numId="17">
    <w:abstractNumId w:val="5"/>
  </w:num>
  <w:num w:numId="18">
    <w:abstractNumId w:val="25"/>
  </w:num>
  <w:num w:numId="19">
    <w:abstractNumId w:val="15"/>
  </w:num>
  <w:num w:numId="20">
    <w:abstractNumId w:val="24"/>
  </w:num>
  <w:num w:numId="21">
    <w:abstractNumId w:val="13"/>
  </w:num>
  <w:num w:numId="22">
    <w:abstractNumId w:val="3"/>
  </w:num>
  <w:num w:numId="23">
    <w:abstractNumId w:val="30"/>
  </w:num>
  <w:num w:numId="24">
    <w:abstractNumId w:val="31"/>
  </w:num>
  <w:num w:numId="25">
    <w:abstractNumId w:val="9"/>
  </w:num>
  <w:num w:numId="26">
    <w:abstractNumId w:val="0"/>
  </w:num>
  <w:num w:numId="27">
    <w:abstractNumId w:val="21"/>
  </w:num>
  <w:num w:numId="28">
    <w:abstractNumId w:val="18"/>
  </w:num>
  <w:num w:numId="29">
    <w:abstractNumId w:val="16"/>
  </w:num>
  <w:num w:numId="30">
    <w:abstractNumId w:val="20"/>
  </w:num>
  <w:num w:numId="31">
    <w:abstractNumId w:val="12"/>
  </w:num>
  <w:num w:numId="32">
    <w:abstractNumId w:val="33"/>
  </w:num>
  <w:num w:numId="33">
    <w:abstractNumId w:val="2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2740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0975"/>
    <w:rsid w:val="0008526E"/>
    <w:rsid w:val="0009017E"/>
    <w:rsid w:val="00091C87"/>
    <w:rsid w:val="000940BF"/>
    <w:rsid w:val="00095162"/>
    <w:rsid w:val="0009685B"/>
    <w:rsid w:val="000A1207"/>
    <w:rsid w:val="000A19E1"/>
    <w:rsid w:val="000A375B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1DC4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A425E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0DBE"/>
    <w:rsid w:val="00241568"/>
    <w:rsid w:val="00245FEB"/>
    <w:rsid w:val="00247DB8"/>
    <w:rsid w:val="00250046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180B"/>
    <w:rsid w:val="00344E42"/>
    <w:rsid w:val="003556DB"/>
    <w:rsid w:val="00361420"/>
    <w:rsid w:val="00362B7B"/>
    <w:rsid w:val="0036675A"/>
    <w:rsid w:val="00366F15"/>
    <w:rsid w:val="00370141"/>
    <w:rsid w:val="00393F9D"/>
    <w:rsid w:val="003950A0"/>
    <w:rsid w:val="003A20CF"/>
    <w:rsid w:val="003A7310"/>
    <w:rsid w:val="003B3ACE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86A"/>
    <w:rsid w:val="00475D13"/>
    <w:rsid w:val="00475E45"/>
    <w:rsid w:val="00476F59"/>
    <w:rsid w:val="004842B9"/>
    <w:rsid w:val="004847E5"/>
    <w:rsid w:val="0048521C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6859"/>
    <w:rsid w:val="00576109"/>
    <w:rsid w:val="0058498C"/>
    <w:rsid w:val="00590F9C"/>
    <w:rsid w:val="00591CEE"/>
    <w:rsid w:val="005941CF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7DB3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90F"/>
    <w:rsid w:val="00781E56"/>
    <w:rsid w:val="00790A6E"/>
    <w:rsid w:val="00793C85"/>
    <w:rsid w:val="007B0C1F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80079"/>
    <w:rsid w:val="008947B8"/>
    <w:rsid w:val="008A0367"/>
    <w:rsid w:val="008B5788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5A53"/>
    <w:rsid w:val="0093666D"/>
    <w:rsid w:val="00951825"/>
    <w:rsid w:val="00953728"/>
    <w:rsid w:val="00963FB9"/>
    <w:rsid w:val="0097559D"/>
    <w:rsid w:val="00983F08"/>
    <w:rsid w:val="0099557C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2A8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C548F"/>
    <w:rsid w:val="00AD3D71"/>
    <w:rsid w:val="00AD43CC"/>
    <w:rsid w:val="00AF0F2D"/>
    <w:rsid w:val="00AF2EAF"/>
    <w:rsid w:val="00B03DC9"/>
    <w:rsid w:val="00B26E30"/>
    <w:rsid w:val="00B34D73"/>
    <w:rsid w:val="00B45ED1"/>
    <w:rsid w:val="00B50F6C"/>
    <w:rsid w:val="00B51703"/>
    <w:rsid w:val="00B65025"/>
    <w:rsid w:val="00B671BF"/>
    <w:rsid w:val="00B80DEA"/>
    <w:rsid w:val="00B841AB"/>
    <w:rsid w:val="00B878FB"/>
    <w:rsid w:val="00B96917"/>
    <w:rsid w:val="00B97614"/>
    <w:rsid w:val="00BA55B7"/>
    <w:rsid w:val="00BB0603"/>
    <w:rsid w:val="00BB0C8C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C05A1"/>
    <w:rsid w:val="00CD525F"/>
    <w:rsid w:val="00CD63D6"/>
    <w:rsid w:val="00CD66EA"/>
    <w:rsid w:val="00CF03B8"/>
    <w:rsid w:val="00CF2784"/>
    <w:rsid w:val="00CF2C92"/>
    <w:rsid w:val="00CF6CE6"/>
    <w:rsid w:val="00D06C9C"/>
    <w:rsid w:val="00D17B23"/>
    <w:rsid w:val="00D22047"/>
    <w:rsid w:val="00D33863"/>
    <w:rsid w:val="00D34073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394"/>
    <w:rsid w:val="00DB7E70"/>
    <w:rsid w:val="00DC25B7"/>
    <w:rsid w:val="00DC7A7E"/>
    <w:rsid w:val="00DD55E4"/>
    <w:rsid w:val="00DD6814"/>
    <w:rsid w:val="00DE0030"/>
    <w:rsid w:val="00DE184B"/>
    <w:rsid w:val="00DF27A7"/>
    <w:rsid w:val="00E0107D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1340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DL-Directorio%20de%20Agencia/ADL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4639-F193-4211-86A4-CA78BB16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F8C4-AD42-4AF2-8828-CA234C24D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14FC7-32B6-4473-9B07-4115AE302B3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8FF4C63-FF3F-471C-B402-B0060C60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ADL</vt:lpstr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ADL</dc:title>
  <dc:subject>Información General</dc:subject>
  <dc:creator>3-1-1 Tu Línea de Servicios de Gobierno</dc:creator>
  <cp:keywords>ADL</cp:keywords>
  <cp:lastModifiedBy>respondadmin</cp:lastModifiedBy>
  <cp:revision>6</cp:revision>
  <cp:lastPrinted>2012-08-17T15:52:00Z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