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8B7ACE" wp14:editId="56F3135E">
                  <wp:extent cx="267335" cy="276225"/>
                  <wp:effectExtent l="19050" t="0" r="0" b="0"/>
                  <wp:docPr id="45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>La Oficina de Ética Gubernamental tiene la e</w:t>
      </w:r>
      <w:r w:rsidR="008F251C">
        <w:rPr>
          <w:rFonts w:asciiTheme="minorHAnsi" w:hAnsiTheme="minorHAnsi" w:cs="Arial"/>
          <w:noProof/>
          <w:color w:val="000000"/>
          <w:lang w:val="es-PR"/>
        </w:rPr>
        <w:t xml:space="preserve">ncomienda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de promover y preservar la integridad de los servidores públicos y de las instituciones gubernamentales.  De esta forma, fortalecemos y le damos continuidad al proceso de desarrollo para la excelencia en el servicio público, a la que todos y todas aspiramos como servidores públicos y como ciudadanos</w:t>
      </w:r>
      <w:r w:rsidR="0098231E">
        <w:rPr>
          <w:rFonts w:asciiTheme="minorHAnsi" w:hAnsiTheme="minorHAnsi" w:cs="Arial"/>
          <w:noProof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349C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2FA17E" wp14:editId="26531ED7">
                  <wp:extent cx="276225" cy="276225"/>
                  <wp:effectExtent l="19050" t="0" r="9525" b="0"/>
                  <wp:docPr id="45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2D2CCD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E5389C">
          <w:rPr>
            <w:rStyle w:val="Hyperlink"/>
            <w:rFonts w:cs="Arial"/>
            <w:lang w:val="es-PR"/>
          </w:rPr>
          <w:t xml:space="preserve">Directorio de </w:t>
        </w:r>
        <w:r w:rsidR="0049566C" w:rsidRPr="00E5389C">
          <w:rPr>
            <w:rStyle w:val="Hyperlink"/>
            <w:rFonts w:cs="Arial"/>
            <w:noProof/>
            <w:lang w:val="es-PR"/>
          </w:rPr>
          <w:t>OEGPR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D2DD32" wp14:editId="7D7C9EC0">
                  <wp:extent cx="276225" cy="276225"/>
                  <wp:effectExtent l="19050" t="0" r="9525" b="0"/>
                  <wp:docPr id="46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A25A01" w:rsidRPr="00A25A01" w:rsidRDefault="00A25A01" w:rsidP="00A25A0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bookmarkStart w:id="1" w:name="PROG1413"/>
      <w:r w:rsidRPr="00A25A01">
        <w:rPr>
          <w:rFonts w:asciiTheme="minorHAnsi" w:eastAsia="Times New Roman" w:hAnsiTheme="minorHAnsi" w:cstheme="minorHAnsi"/>
          <w:color w:val="000000"/>
          <w:lang w:val="es-ES_tradnl" w:eastAsia="es-ES_tradnl"/>
        </w:rPr>
        <w:lastRenderedPageBreak/>
        <w:t xml:space="preserve">Provee información y promueve la difusión y conocimiento de las normas de ética en las agencias por medio de orientaciones, seminarios y talleres a los servidores públicos y ciudadanos. </w:t>
      </w:r>
    </w:p>
    <w:p w:rsidR="00A25A01" w:rsidRPr="00A25A01" w:rsidRDefault="00A25A01" w:rsidP="00A25A0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A25A01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Da a conocer las funciones de la Oficina y la ética gubernamental. </w:t>
      </w:r>
    </w:p>
    <w:p w:rsidR="00A25A01" w:rsidRPr="00A25A01" w:rsidRDefault="00A25A01" w:rsidP="00A25A0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A25A01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Ofrece servicio de opiniones y consultas sobre la ley a las agencias y personas particulares que lo soliciten. </w:t>
      </w:r>
    </w:p>
    <w:p w:rsidR="00A25A01" w:rsidRPr="00A25A01" w:rsidRDefault="00A25A01" w:rsidP="00A25A0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A25A01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Implanta y vela que se cumplan las disposiciones establecidas en los Capítulos III y IV de la Ley de Ética Gubernamental que incluyen las normas de ética y la obligación de presentar informes financieros por determinados funcionarios y empleados públicos. </w:t>
      </w:r>
    </w:p>
    <w:p w:rsidR="00A25A01" w:rsidRPr="00A25A01" w:rsidRDefault="00A25A01" w:rsidP="00A25A0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A25A01">
        <w:rPr>
          <w:rFonts w:asciiTheme="minorHAnsi" w:eastAsia="Times New Roman" w:hAnsiTheme="minorHAnsi" w:cstheme="minorHAnsi"/>
          <w:color w:val="000000"/>
          <w:lang w:val="es-ES_tradnl" w:eastAsia="es-ES_tradnl"/>
        </w:rPr>
        <w:t>Evalúa e investiga los planteamientos que someta cualquier ciudadano privado o cualquier funcionario o empleado del Gobierno del Estado Libre Asociado de Puerto Rico sobre posibles violaciones a la Ley de Ética Gubernamental.</w:t>
      </w:r>
      <w:r w:rsidRPr="00A25A01">
        <w:rPr>
          <w:rFonts w:asciiTheme="minorHAnsi" w:eastAsia="Times New Roman" w:hAnsiTheme="minorHAnsi" w:cstheme="minorHAnsi"/>
          <w:lang w:val="es-ES_tradnl" w:eastAsia="es-ES_tradnl"/>
        </w:rPr>
        <w:t xml:space="preserve"> </w:t>
      </w:r>
    </w:p>
    <w:bookmarkEnd w:id="1"/>
    <w:p w:rsidR="0049566C" w:rsidRDefault="00FB566E" w:rsidP="00FB566E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Esta Agencia agrupa:</w:t>
      </w:r>
    </w:p>
    <w:p w:rsidR="00FB566E" w:rsidRDefault="002D2CCD" w:rsidP="00FB566E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hyperlink r:id="rId22" w:history="1">
        <w:r w:rsidR="00FB566E" w:rsidRPr="00FB566E">
          <w:rPr>
            <w:rStyle w:val="Hyperlink"/>
            <w:rFonts w:asciiTheme="minorHAnsi" w:eastAsia="Times New Roman" w:hAnsiTheme="minorHAnsi" w:cstheme="minorHAnsi"/>
            <w:lang w:val="es-PR"/>
          </w:rPr>
          <w:t>Oficina del Coordinador General para el Financiamiento Socioeconómico y la Autogestión (OFSA)</w:t>
        </w:r>
      </w:hyperlink>
      <w:r w:rsidR="00FB566E">
        <w:rPr>
          <w:rFonts w:asciiTheme="minorHAnsi" w:eastAsia="Times New Roman" w:hAnsiTheme="minorHAnsi" w:cstheme="minorHAnsi"/>
          <w:color w:val="000000"/>
          <w:lang w:val="es-PR"/>
        </w:rPr>
        <w:t xml:space="preserve"> – </w:t>
      </w:r>
      <w:r w:rsidR="00FB566E" w:rsidRPr="00FB566E">
        <w:rPr>
          <w:rFonts w:asciiTheme="minorHAnsi" w:eastAsia="Times New Roman" w:hAnsiTheme="minorHAnsi" w:cstheme="minorHAnsi"/>
          <w:b/>
          <w:color w:val="000000"/>
          <w:highlight w:val="yellow"/>
          <w:lang w:val="es-PR"/>
        </w:rPr>
        <w:t>AGENCIA NO INTEGRADA</w:t>
      </w:r>
    </w:p>
    <w:p w:rsidR="00FB566E" w:rsidRPr="002B2535" w:rsidRDefault="00FB566E" w:rsidP="00FB566E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del Coordinador General para el Financiamiento Socioeconómico y la Autogestión (OFSA) tiene como misión erradicar la pobreza en Puerto Rico mediante la implantación de un modelo social que incorpore la capacidad y voluntad de trabajo de las comunidades en la solución de sus problemas. </w:t>
      </w:r>
    </w:p>
    <w:p w:rsidR="00FB566E" w:rsidRDefault="00FB566E" w:rsidP="00FB566E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Coordinar los esfuerzos gubernamentales, incluyendo los municipales, relacionados al desarrollo social y económico de las comunidades especiales para promover entre sus residentes el pleno dominio y control de sus vidas. Promover la participación del sector privado y de las fundaciones e instituciones de la sociedad para que éstos contribuyan a mejorar la calidad de vida de los residentes de las comunidades especiales.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B566E" w:rsidRPr="007E031A" w:rsidTr="008E3F6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566E" w:rsidRDefault="00FB566E" w:rsidP="008E3F6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51FDE1" wp14:editId="7A854DB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566E" w:rsidRPr="00591CEE" w:rsidRDefault="00FB566E" w:rsidP="008E3F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FB566E" w:rsidRPr="00FB566E" w:rsidRDefault="002D2CCD" w:rsidP="00FB566E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24" w:history="1">
        <w:r w:rsidR="00FB566E" w:rsidRPr="00FB566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Página Web OEGPR</w:t>
        </w:r>
      </w:hyperlink>
      <w:r w:rsidR="00FB566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- </w:t>
      </w:r>
      <w:r w:rsidR="00FB566E" w:rsidRPr="00FB566E">
        <w:rPr>
          <w:rFonts w:asciiTheme="minorHAnsi" w:hAnsiTheme="minorHAnsi" w:cs="Arial"/>
          <w:color w:val="000000"/>
          <w:sz w:val="22"/>
          <w:szCs w:val="22"/>
          <w:lang w:val="es-PR"/>
        </w:rPr>
        <w:t>http://www.oegpr.net/</w:t>
      </w:r>
    </w:p>
    <w:sectPr w:rsidR="00FB566E" w:rsidRPr="00FB566E" w:rsidSect="0049566C">
      <w:headerReference w:type="default" r:id="rId25"/>
      <w:footerReference w:type="default" r:id="rId26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DB" w:rsidRDefault="003E7EDB" w:rsidP="005501A9">
      <w:pPr>
        <w:spacing w:after="0" w:line="240" w:lineRule="auto"/>
      </w:pPr>
      <w:r>
        <w:separator/>
      </w:r>
    </w:p>
  </w:endnote>
  <w:endnote w:type="continuationSeparator" w:id="0">
    <w:p w:rsidR="003E7EDB" w:rsidRDefault="003E7ED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C1" w:rsidRDefault="00034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30304" behindDoc="0" locked="0" layoutInCell="1" allowOverlap="1" wp14:anchorId="77053F24" wp14:editId="1F544C67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46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32352" behindDoc="0" locked="0" layoutInCell="1" allowOverlap="1" wp14:anchorId="0003DCB8" wp14:editId="2F37356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26" name="AutoShape 2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2" o:spid="_x0000_s1026" type="#_x0000_t32" style="position:absolute;margin-left:-35.9pt;margin-top:3.1pt;width:471.35pt;height:.0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C2wnY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0349C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349C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C1" w:rsidRDefault="000349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DB" w:rsidRDefault="003E7EDB" w:rsidP="005501A9">
      <w:pPr>
        <w:spacing w:after="0" w:line="240" w:lineRule="auto"/>
      </w:pPr>
      <w:r>
        <w:separator/>
      </w:r>
    </w:p>
  </w:footnote>
  <w:footnote w:type="continuationSeparator" w:id="0">
    <w:p w:rsidR="003E7EDB" w:rsidRDefault="003E7ED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C1" w:rsidRDefault="00034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31328" behindDoc="0" locked="0" layoutInCell="1" allowOverlap="1" wp14:anchorId="5407E99A" wp14:editId="4E99A2B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27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OEGPR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26" type="#_x0000_t202" style="position:absolute;margin-left:389.5pt;margin-top:6.65pt;width:82.7pt;height:27.5pt;z-index:25213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C9hW4k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OEGPR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Ética Gubernamental</w:t>
    </w:r>
    <w:r w:rsidR="00A25A01">
      <w:rPr>
        <w:noProof/>
        <w:sz w:val="32"/>
        <w:szCs w:val="32"/>
        <w:lang w:val="es-PR"/>
      </w:rPr>
      <w:t xml:space="preserve"> (OEGPR)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C1" w:rsidRDefault="000349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F704E6B"/>
    <w:multiLevelType w:val="hybridMultilevel"/>
    <w:tmpl w:val="1576D6EE"/>
    <w:lvl w:ilvl="0" w:tplc="DF1A6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8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49C1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059AF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6C7D"/>
    <w:rsid w:val="002A7ACF"/>
    <w:rsid w:val="002B5156"/>
    <w:rsid w:val="002B59DC"/>
    <w:rsid w:val="002C1753"/>
    <w:rsid w:val="002D1E0C"/>
    <w:rsid w:val="002D2CCD"/>
    <w:rsid w:val="002D3544"/>
    <w:rsid w:val="002D3658"/>
    <w:rsid w:val="002D392D"/>
    <w:rsid w:val="002D480E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E7EDB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07CB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2352"/>
    <w:rsid w:val="005C33B7"/>
    <w:rsid w:val="005D2EE9"/>
    <w:rsid w:val="005D6FC4"/>
    <w:rsid w:val="005D72CC"/>
    <w:rsid w:val="005F07EB"/>
    <w:rsid w:val="005F70D3"/>
    <w:rsid w:val="005F7447"/>
    <w:rsid w:val="00600C7C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04B"/>
    <w:rsid w:val="006F359E"/>
    <w:rsid w:val="0070699C"/>
    <w:rsid w:val="00706AE9"/>
    <w:rsid w:val="0071238A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F251C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231E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0FE"/>
    <w:rsid w:val="00A15EFF"/>
    <w:rsid w:val="00A25135"/>
    <w:rsid w:val="00A25A01"/>
    <w:rsid w:val="00A25D7F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B03DC9"/>
    <w:rsid w:val="00B26E30"/>
    <w:rsid w:val="00B2753B"/>
    <w:rsid w:val="00B34D73"/>
    <w:rsid w:val="00B45ED1"/>
    <w:rsid w:val="00B51703"/>
    <w:rsid w:val="00B65025"/>
    <w:rsid w:val="00B671BF"/>
    <w:rsid w:val="00B77636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0AD1"/>
    <w:rsid w:val="00CD525F"/>
    <w:rsid w:val="00CD63D6"/>
    <w:rsid w:val="00CD66EA"/>
    <w:rsid w:val="00CE388A"/>
    <w:rsid w:val="00CF03B8"/>
    <w:rsid w:val="00CF2784"/>
    <w:rsid w:val="00CF6A72"/>
    <w:rsid w:val="00CF6CE6"/>
    <w:rsid w:val="00D00FCB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36E6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15C6"/>
    <w:rsid w:val="00E5389C"/>
    <w:rsid w:val="00E53D05"/>
    <w:rsid w:val="00E614E4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1645C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B566E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oegpr.ne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EGPR-Directorio%20de%20Agencia/OEGPR-000-Directorio%20de%20Agencia.pdf" TargetMode="External"/><Relationship Id="rId22" Type="http://schemas.openxmlformats.org/officeDocument/2006/relationships/hyperlink" Target="https://spnavigation.respondcrm.com/AppViewer.html?q=https://311prkb.respondcrm.com/respondweb/Informaci&#243;n%20General%20de%20la%20OFSA/OFSA-001-Informacion%20General%20de%20la%20OFSA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A1EBB-E7E7-4ECC-ABE3-8331B5A0A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441D-1B92-4FDB-8D94-14D550B260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E6AD828-36DC-4BD0-A219-431FD4B5A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DE8E3-0276-4B80-AD25-FAC8B32C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Ética Gubernamental</vt:lpstr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OEGPR</dc:title>
  <dc:subject>Información General</dc:subject>
  <dc:creator>3-1-1 Tu Línea de Servicios de Gobierno</dc:creator>
  <cp:keywords>OEGPR</cp:keywords>
  <cp:lastModifiedBy>respondadmin</cp:lastModifiedBy>
  <cp:revision>6</cp:revision>
  <cp:lastPrinted>2012-08-20T15:06:00Z</cp:lastPrinted>
  <dcterms:created xsi:type="dcterms:W3CDTF">2012-11-21T15:18:00Z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