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591CEE">
            <w:pPr>
              <w:pStyle w:val="NormalWeb"/>
              <w:rPr>
                <w:rFonts w:ascii="Verdana" w:hAnsi="Verdana" w:cs="Arial"/>
                <w:color w:val="000000"/>
                <w:sz w:val="20"/>
                <w:szCs w:val="20"/>
                <w:lang w:val="es-PR"/>
              </w:rPr>
            </w:pPr>
            <w:bookmarkStart w:id="0" w:name="_GoBack"/>
            <w:bookmarkEnd w:id="0"/>
            <w:r>
              <w:rPr>
                <w:b/>
                <w:noProof/>
                <w:sz w:val="28"/>
                <w:szCs w:val="28"/>
                <w:lang w:val="en-US"/>
              </w:rPr>
              <w:drawing>
                <wp:inline distT="0" distB="0" distL="0" distR="0" wp14:anchorId="29E7F34E" wp14:editId="426DB7ED">
                  <wp:extent cx="267335" cy="276225"/>
                  <wp:effectExtent l="19050" t="0" r="0" b="0"/>
                  <wp:docPr id="48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3F4818" w:rsidRPr="003F4818" w:rsidRDefault="003F4818" w:rsidP="003F4818">
      <w:pPr>
        <w:spacing w:before="120" w:after="120" w:line="240" w:lineRule="auto"/>
        <w:jc w:val="both"/>
        <w:rPr>
          <w:rFonts w:ascii="Times New Roman" w:eastAsia="Times New Roman" w:hAnsi="Times New Roman"/>
          <w:lang w:eastAsia="es-ES_tradnl"/>
        </w:rPr>
      </w:pPr>
      <w:bookmarkStart w:id="1" w:name="PROG1633"/>
      <w:r w:rsidRPr="003F4818">
        <w:rPr>
          <w:rFonts w:eastAsia="Times New Roman" w:cs="Calibri"/>
          <w:color w:val="000000"/>
          <w:lang w:eastAsia="es-ES_tradnl"/>
        </w:rPr>
        <w:t>Establece y coordina la política pública y las estrategias gerenciales para la efectiva operación y funcionamiento de la Rama Ejecutiva. Por medio de la Oficina del Secretario de la Gobernación y de las oficinas de los asesores, se coordina con las agencias y organismos gubernamentales de otras ramas de gobierno, la implantación de dicha política pública. Asesora al Gobernador sobre sus áreas de competencia. El Programa también canaliza la evaluación de todos los anteproyectos, proyectos de ley y órdenes ejecutivas en todas sus fases.</w:t>
      </w:r>
      <w:r w:rsidRPr="003F4818">
        <w:rPr>
          <w:rFonts w:ascii="Times New Roman" w:eastAsia="Times New Roman" w:hAnsi="Times New Roman"/>
          <w:lang w:eastAsia="es-ES_tradnl"/>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185748"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bookmarkEnd w:id="1"/>
          <w:p w:rsidR="0049566C" w:rsidRPr="00A625BF" w:rsidRDefault="0049566C" w:rsidP="00F3589A">
            <w:pPr>
              <w:pStyle w:val="NormalWeb"/>
              <w:rPr>
                <w:rFonts w:ascii="Verdana" w:hAnsi="Verdana" w:cs="Arial"/>
                <w:color w:val="000000"/>
                <w:sz w:val="20"/>
                <w:szCs w:val="20"/>
                <w:lang w:val="es-PR"/>
              </w:rPr>
            </w:pPr>
            <w:r>
              <w:rPr>
                <w:rFonts w:ascii="Arial" w:hAnsi="Arial" w:cs="Arial"/>
                <w:noProof/>
                <w:sz w:val="20"/>
                <w:szCs w:val="20"/>
                <w:lang w:val="en-US"/>
              </w:rPr>
              <w:drawing>
                <wp:inline distT="0" distB="0" distL="0" distR="0" wp14:anchorId="1970CFC1" wp14:editId="17DED823">
                  <wp:extent cx="276225" cy="276225"/>
                  <wp:effectExtent l="19050" t="0" r="9525" b="0"/>
                  <wp:docPr id="48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49566C" w:rsidRDefault="00AC1DC3" w:rsidP="00F240F5">
      <w:pPr>
        <w:shd w:val="clear" w:color="auto" w:fill="FFFFFF"/>
        <w:spacing w:before="120" w:after="120" w:line="240" w:lineRule="auto"/>
        <w:rPr>
          <w:rStyle w:val="Hyperlink"/>
          <w:rFonts w:cs="Arial"/>
          <w:noProof/>
          <w:lang w:val="es-PR"/>
        </w:rPr>
      </w:pPr>
      <w:hyperlink r:id="rId14" w:history="1">
        <w:r w:rsidR="00091D18">
          <w:rPr>
            <w:rStyle w:val="Hyperlink"/>
            <w:rFonts w:cs="Arial"/>
            <w:noProof/>
            <w:lang w:val="es-PR"/>
          </w:rPr>
          <w:t>Directorio de OG</w:t>
        </w:r>
      </w:hyperlink>
    </w:p>
    <w:p w:rsidR="00946FC2" w:rsidRDefault="00946FC2" w:rsidP="00946FC2">
      <w:pPr>
        <w:rPr>
          <w:lang w:val="es-PR"/>
        </w:rPr>
      </w:pPr>
      <w:r>
        <w:rPr>
          <w:lang w:val="es-PR"/>
        </w:rPr>
        <w:t>Transacciones en PR.GOV:</w:t>
      </w:r>
    </w:p>
    <w:p w:rsidR="00946FC2" w:rsidRPr="00946FC2" w:rsidRDefault="00946FC2" w:rsidP="00946FC2">
      <w:pPr>
        <w:pStyle w:val="ListParagraph"/>
        <w:numPr>
          <w:ilvl w:val="0"/>
          <w:numId w:val="31"/>
        </w:numPr>
        <w:rPr>
          <w:lang w:val="es-PR"/>
        </w:rPr>
      </w:pPr>
      <w:r w:rsidRPr="00946FC2">
        <w:rPr>
          <w:lang w:val="es-PR"/>
        </w:rPr>
        <w:t>Creación de propuestas en línea E-Grant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1279C">
            <w:pPr>
              <w:pStyle w:val="NormalWeb"/>
              <w:rPr>
                <w:rFonts w:ascii="Verdana" w:hAnsi="Verdana" w:cs="Arial"/>
                <w:color w:val="000000"/>
                <w:sz w:val="20"/>
                <w:szCs w:val="20"/>
                <w:lang w:val="es-PR"/>
              </w:rPr>
            </w:pPr>
            <w:r>
              <w:rPr>
                <w:rFonts w:ascii="Arial" w:hAnsi="Arial" w:cs="Arial"/>
                <w:noProof/>
                <w:sz w:val="20"/>
                <w:szCs w:val="20"/>
                <w:lang w:val="en-US"/>
              </w:rPr>
              <w:drawing>
                <wp:inline distT="0" distB="0" distL="0" distR="0" wp14:anchorId="5B1672F5" wp14:editId="0744FC58">
                  <wp:extent cx="276225" cy="276225"/>
                  <wp:effectExtent l="19050" t="0" r="9525" b="0"/>
                  <wp:docPr id="484"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49566C" w:rsidRDefault="0049566C" w:rsidP="00A25135">
      <w:pPr>
        <w:spacing w:before="120" w:after="120" w:line="240" w:lineRule="auto"/>
        <w:rPr>
          <w:rFonts w:eastAsia="Times New Roman" w:cs="Arial"/>
          <w:color w:val="000000"/>
          <w:lang w:val="es-PR"/>
        </w:rPr>
      </w:pPr>
      <w:r>
        <w:rPr>
          <w:rFonts w:eastAsia="Times New Roman" w:cs="Arial"/>
          <w:color w:val="000000"/>
          <w:lang w:val="es-PR"/>
        </w:rPr>
        <w:t>Algunos de los servicios ofrecidos por la agencia son los siguientes:</w:t>
      </w:r>
    </w:p>
    <w:p w:rsidR="0049566C" w:rsidRDefault="0049566C" w:rsidP="00A25135">
      <w:pPr>
        <w:spacing w:before="120" w:after="120" w:line="240" w:lineRule="auto"/>
        <w:rPr>
          <w:rFonts w:eastAsia="Times New Roman" w:cs="Arial"/>
          <w:color w:val="000000"/>
          <w:lang w:val="es-PR"/>
        </w:rPr>
        <w:sectPr w:rsidR="0049566C"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571CAB" w:rsidRPr="00571CAB" w:rsidRDefault="00571CAB" w:rsidP="003F4818">
      <w:pPr>
        <w:pStyle w:val="ListParagraph"/>
        <w:numPr>
          <w:ilvl w:val="0"/>
          <w:numId w:val="30"/>
        </w:numPr>
        <w:spacing w:before="120" w:after="120" w:line="240" w:lineRule="auto"/>
        <w:contextualSpacing w:val="0"/>
        <w:jc w:val="both"/>
        <w:rPr>
          <w:rFonts w:cs="Calibri"/>
          <w:color w:val="000000"/>
        </w:rPr>
      </w:pPr>
      <w:bookmarkStart w:id="2" w:name="PROG1644"/>
      <w:r w:rsidRPr="003F4818">
        <w:rPr>
          <w:rFonts w:eastAsia="Times New Roman" w:cs="Calibri"/>
          <w:color w:val="000000"/>
          <w:lang w:eastAsia="es-ES_tradnl"/>
        </w:rPr>
        <w:lastRenderedPageBreak/>
        <w:t xml:space="preserve">Establece y coordina la política pública y las estrategias gerenciales para la efectiva operación y funcionamiento de la Rama Ejecutiva. </w:t>
      </w:r>
    </w:p>
    <w:p w:rsidR="00571CAB" w:rsidRDefault="003F4818" w:rsidP="003F4818">
      <w:pPr>
        <w:pStyle w:val="ListParagraph"/>
        <w:numPr>
          <w:ilvl w:val="0"/>
          <w:numId w:val="30"/>
        </w:numPr>
        <w:spacing w:before="120" w:after="120" w:line="240" w:lineRule="auto"/>
        <w:contextualSpacing w:val="0"/>
        <w:jc w:val="both"/>
        <w:rPr>
          <w:rFonts w:cs="Calibri"/>
          <w:color w:val="000000"/>
        </w:rPr>
      </w:pPr>
      <w:r w:rsidRPr="00571CAB">
        <w:rPr>
          <w:rFonts w:cs="Calibri"/>
          <w:color w:val="000000"/>
        </w:rPr>
        <w:t xml:space="preserve">Organiza y realiza actividades y gestiones especiales que contribuyen al logro de los objetivos de la Administración y la atención prioritaria de asuntos que beneficien a la ciudadanía. </w:t>
      </w:r>
      <w:bookmarkStart w:id="3" w:name="PROG2064"/>
    </w:p>
    <w:p w:rsidR="00571CAB" w:rsidRDefault="003F4818" w:rsidP="003F4818">
      <w:pPr>
        <w:pStyle w:val="ListParagraph"/>
        <w:numPr>
          <w:ilvl w:val="0"/>
          <w:numId w:val="30"/>
        </w:numPr>
        <w:spacing w:before="120" w:after="120" w:line="240" w:lineRule="auto"/>
        <w:contextualSpacing w:val="0"/>
        <w:jc w:val="both"/>
        <w:rPr>
          <w:rFonts w:cs="Calibri"/>
          <w:color w:val="000000"/>
        </w:rPr>
      </w:pPr>
      <w:r w:rsidRPr="00571CAB">
        <w:rPr>
          <w:rFonts w:cs="Calibri"/>
          <w:color w:val="000000"/>
        </w:rPr>
        <w:t>Es responsable de servir como mecanismo de enlace y coordinación con los distintos organismos y funcionarios que participan en el proceso de evaluación para la nominación, re-nominación, ascenso, nombramiento y confirmación de jueces.</w:t>
      </w:r>
      <w:bookmarkEnd w:id="3"/>
    </w:p>
    <w:bookmarkEnd w:id="2"/>
    <w:p w:rsidR="003F4818" w:rsidRPr="00571CAB" w:rsidRDefault="003F4818" w:rsidP="00571CAB">
      <w:pPr>
        <w:spacing w:before="120" w:after="120" w:line="240" w:lineRule="auto"/>
        <w:jc w:val="both"/>
        <w:rPr>
          <w:rFonts w:cs="Calibri"/>
          <w:color w:val="000000"/>
        </w:rPr>
      </w:pPr>
    </w:p>
    <w:p w:rsidR="002F3AFF" w:rsidRPr="00A82506" w:rsidRDefault="002F3AFF" w:rsidP="00A82506">
      <w:pPr>
        <w:spacing w:before="120" w:after="120" w:line="240" w:lineRule="auto"/>
        <w:jc w:val="both"/>
        <w:rPr>
          <w:rFonts w:eastAsia="Times New Roman" w:cs="Arial"/>
          <w:color w:val="000000"/>
          <w:lang w:val="es-PR"/>
        </w:rPr>
      </w:pPr>
    </w:p>
    <w:sectPr w:rsidR="002F3AFF" w:rsidRPr="00A82506"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E1" w:rsidRDefault="005240E1" w:rsidP="005501A9">
      <w:pPr>
        <w:spacing w:after="0" w:line="240" w:lineRule="auto"/>
      </w:pPr>
      <w:r>
        <w:separator/>
      </w:r>
    </w:p>
  </w:endnote>
  <w:endnote w:type="continuationSeparator" w:id="0">
    <w:p w:rsidR="005240E1" w:rsidRDefault="005240E1"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27" w:rsidRDefault="00862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2154880" behindDoc="0" locked="0" layoutInCell="1" allowOverlap="1" wp14:anchorId="7FF6879C" wp14:editId="2FBD711F">
                <wp:simplePos x="0" y="0"/>
                <wp:positionH relativeFrom="column">
                  <wp:posOffset>-457200</wp:posOffset>
                </wp:positionH>
                <wp:positionV relativeFrom="paragraph">
                  <wp:posOffset>116205</wp:posOffset>
                </wp:positionV>
                <wp:extent cx="333375" cy="259715"/>
                <wp:effectExtent l="0" t="0" r="9525" b="6985"/>
                <wp:wrapSquare wrapText="bothSides"/>
                <wp:docPr id="48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lang w:val="en-US"/>
            </w:rPr>
            <mc:AlternateContent>
              <mc:Choice Requires="wps">
                <w:drawing>
                  <wp:anchor distT="0" distB="0" distL="114300" distR="114300" simplePos="0" relativeHeight="252156928" behindDoc="0" locked="0" layoutInCell="1" allowOverlap="1" wp14:anchorId="11A97912" wp14:editId="2D9673F8">
                    <wp:simplePos x="0" y="0"/>
                    <wp:positionH relativeFrom="column">
                      <wp:posOffset>-455930</wp:posOffset>
                    </wp:positionH>
                    <wp:positionV relativeFrom="paragraph">
                      <wp:posOffset>39370</wp:posOffset>
                    </wp:positionV>
                    <wp:extent cx="5986145" cy="635"/>
                    <wp:effectExtent l="10795" t="10795" r="13335" b="7620"/>
                    <wp:wrapNone/>
                    <wp:docPr id="614"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44" o:spid="_x0000_s1026" type="#_x0000_t32" style="position:absolute;margin-left:-35.9pt;margin-top:3.1pt;width:471.35pt;height:.0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75IwIAAEE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BWAD75IwIAAEE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4372B7" w:rsidRPr="00A625BF" w:rsidRDefault="00862B27" w:rsidP="00A625BF">
          <w:pPr>
            <w:pStyle w:val="Footer"/>
            <w:jc w:val="center"/>
            <w:rPr>
              <w:rFonts w:asciiTheme="minorHAnsi" w:eastAsiaTheme="minorHAnsi" w:hAnsiTheme="minorHAnsi" w:cstheme="minorBidi"/>
              <w:lang w:val="es-PR"/>
            </w:rPr>
          </w:pPr>
          <w:r w:rsidRPr="00862B27">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27" w:rsidRDefault="00862B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lang w:val="en-US"/>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E1" w:rsidRDefault="005240E1" w:rsidP="005501A9">
      <w:pPr>
        <w:spacing w:after="0" w:line="240" w:lineRule="auto"/>
      </w:pPr>
      <w:r>
        <w:separator/>
      </w:r>
    </w:p>
  </w:footnote>
  <w:footnote w:type="continuationSeparator" w:id="0">
    <w:p w:rsidR="005240E1" w:rsidRDefault="005240E1"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27" w:rsidRDefault="00862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lang w:val="en-US"/>
      </w:rPr>
      <mc:AlternateContent>
        <mc:Choice Requires="wps">
          <w:drawing>
            <wp:anchor distT="0" distB="0" distL="114300" distR="114300" simplePos="0" relativeHeight="252155904" behindDoc="0" locked="0" layoutInCell="1" allowOverlap="1" wp14:anchorId="2D0F563A" wp14:editId="406BBB20">
              <wp:simplePos x="0" y="0"/>
              <wp:positionH relativeFrom="column">
                <wp:posOffset>4946650</wp:posOffset>
              </wp:positionH>
              <wp:positionV relativeFrom="paragraph">
                <wp:posOffset>84455</wp:posOffset>
              </wp:positionV>
              <wp:extent cx="1050290" cy="349250"/>
              <wp:effectExtent l="12700" t="8255" r="13335" b="13970"/>
              <wp:wrapNone/>
              <wp:docPr id="61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O</w:t>
                          </w:r>
                          <w:r w:rsidR="0002129A">
                            <w:rPr>
                              <w:noProof/>
                              <w:sz w:val="16"/>
                              <w:szCs w:val="16"/>
                              <w:lang w:val="es-PR"/>
                            </w:rPr>
                            <w:t>G</w:t>
                          </w:r>
                          <w:r>
                            <w:rPr>
                              <w:sz w:val="16"/>
                              <w:szCs w:val="16"/>
                              <w:lang w:val="es-PR"/>
                            </w:rPr>
                            <w:t>-</w:t>
                          </w:r>
                          <w:r w:rsidR="0002129A">
                            <w:rPr>
                              <w:sz w:val="16"/>
                              <w:szCs w:val="16"/>
                              <w:lang w:val="es-PR"/>
                            </w:rPr>
                            <w:t>015</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43" o:spid="_x0000_s1026" type="#_x0000_t202" style="position:absolute;margin-left:389.5pt;margin-top:6.65pt;width:82.7pt;height:27.5pt;z-index:252155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dCMfTSwCAABUBAAADgAAAAAAAAAAAAAAAAAuAgAAZHJz&#10;L2Uyb0RvYy54bWxQSwECLQAUAAYACAAAACEASIBzPd4AAAAJAQAADwAAAAAAAAAAAAAAAACGBAAA&#10;ZHJzL2Rvd25yZXYueG1sUEsFBgAAAAAEAAQA8wAAAJEFA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O</w:t>
                    </w:r>
                    <w:r w:rsidR="0002129A">
                      <w:rPr>
                        <w:noProof/>
                        <w:sz w:val="16"/>
                        <w:szCs w:val="16"/>
                        <w:lang w:val="es-PR"/>
                      </w:rPr>
                      <w:t>G</w:t>
                    </w:r>
                    <w:r>
                      <w:rPr>
                        <w:sz w:val="16"/>
                        <w:szCs w:val="16"/>
                        <w:lang w:val="es-PR"/>
                      </w:rPr>
                      <w:t>-</w:t>
                    </w:r>
                    <w:r w:rsidR="0002129A">
                      <w:rPr>
                        <w:sz w:val="16"/>
                        <w:szCs w:val="16"/>
                        <w:lang w:val="es-PR"/>
                      </w:rPr>
                      <w:t>015</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 xml:space="preserve">Oficina del </w:t>
    </w:r>
    <w:r w:rsidR="0002129A">
      <w:rPr>
        <w:noProof/>
        <w:sz w:val="32"/>
        <w:szCs w:val="32"/>
        <w:lang w:val="es-PR"/>
      </w:rPr>
      <w:t>Gobernador (La Fortaleza)</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27" w:rsidRDefault="00862B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Comisión de Derechos Civiles</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13191"/>
    <w:multiLevelType w:val="hybridMultilevel"/>
    <w:tmpl w:val="8362D6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403B67"/>
    <w:multiLevelType w:val="hybridMultilevel"/>
    <w:tmpl w:val="3B14DC50"/>
    <w:lvl w:ilvl="0" w:tplc="2CB0BE4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4"/>
  </w:num>
  <w:num w:numId="3">
    <w:abstractNumId w:val="25"/>
  </w:num>
  <w:num w:numId="4">
    <w:abstractNumId w:val="30"/>
  </w:num>
  <w:num w:numId="5">
    <w:abstractNumId w:val="16"/>
  </w:num>
  <w:num w:numId="6">
    <w:abstractNumId w:val="12"/>
  </w:num>
  <w:num w:numId="7">
    <w:abstractNumId w:val="19"/>
  </w:num>
  <w:num w:numId="8">
    <w:abstractNumId w:val="10"/>
  </w:num>
  <w:num w:numId="9">
    <w:abstractNumId w:val="22"/>
  </w:num>
  <w:num w:numId="10">
    <w:abstractNumId w:val="9"/>
  </w:num>
  <w:num w:numId="11">
    <w:abstractNumId w:val="1"/>
  </w:num>
  <w:num w:numId="12">
    <w:abstractNumId w:val="28"/>
  </w:num>
  <w:num w:numId="13">
    <w:abstractNumId w:val="3"/>
  </w:num>
  <w:num w:numId="14">
    <w:abstractNumId w:val="23"/>
  </w:num>
  <w:num w:numId="15">
    <w:abstractNumId w:val="5"/>
  </w:num>
  <w:num w:numId="16">
    <w:abstractNumId w:val="18"/>
  </w:num>
  <w:num w:numId="17">
    <w:abstractNumId w:val="4"/>
  </w:num>
  <w:num w:numId="18">
    <w:abstractNumId w:val="21"/>
  </w:num>
  <w:num w:numId="19">
    <w:abstractNumId w:val="13"/>
  </w:num>
  <w:num w:numId="20">
    <w:abstractNumId w:val="20"/>
  </w:num>
  <w:num w:numId="21">
    <w:abstractNumId w:val="11"/>
  </w:num>
  <w:num w:numId="22">
    <w:abstractNumId w:val="2"/>
  </w:num>
  <w:num w:numId="23">
    <w:abstractNumId w:val="26"/>
  </w:num>
  <w:num w:numId="24">
    <w:abstractNumId w:val="27"/>
  </w:num>
  <w:num w:numId="25">
    <w:abstractNumId w:val="8"/>
  </w:num>
  <w:num w:numId="26">
    <w:abstractNumId w:val="0"/>
  </w:num>
  <w:num w:numId="27">
    <w:abstractNumId w:val="17"/>
  </w:num>
  <w:num w:numId="28">
    <w:abstractNumId w:val="15"/>
  </w:num>
  <w:num w:numId="29">
    <w:abstractNumId w:val="14"/>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29A"/>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1D18"/>
    <w:rsid w:val="000940BF"/>
    <w:rsid w:val="00095162"/>
    <w:rsid w:val="0009685B"/>
    <w:rsid w:val="000A1207"/>
    <w:rsid w:val="000A19E1"/>
    <w:rsid w:val="000A6877"/>
    <w:rsid w:val="000B0C5A"/>
    <w:rsid w:val="000B1C92"/>
    <w:rsid w:val="000B2831"/>
    <w:rsid w:val="000B69D3"/>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5438"/>
    <w:rsid w:val="00185748"/>
    <w:rsid w:val="00185F44"/>
    <w:rsid w:val="001860B9"/>
    <w:rsid w:val="00191D71"/>
    <w:rsid w:val="00194922"/>
    <w:rsid w:val="001B4194"/>
    <w:rsid w:val="001B5E3B"/>
    <w:rsid w:val="001B6772"/>
    <w:rsid w:val="001B6C87"/>
    <w:rsid w:val="001C0483"/>
    <w:rsid w:val="001C147E"/>
    <w:rsid w:val="001C2D5F"/>
    <w:rsid w:val="001C4859"/>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A7ACF"/>
    <w:rsid w:val="002B2535"/>
    <w:rsid w:val="002B5156"/>
    <w:rsid w:val="002B59DC"/>
    <w:rsid w:val="002C1753"/>
    <w:rsid w:val="002C390F"/>
    <w:rsid w:val="002D1E0C"/>
    <w:rsid w:val="002D3544"/>
    <w:rsid w:val="002D3658"/>
    <w:rsid w:val="002D392D"/>
    <w:rsid w:val="002F030A"/>
    <w:rsid w:val="002F38A5"/>
    <w:rsid w:val="002F3AFF"/>
    <w:rsid w:val="0030058C"/>
    <w:rsid w:val="003017A1"/>
    <w:rsid w:val="00303BF4"/>
    <w:rsid w:val="00306286"/>
    <w:rsid w:val="00307F9A"/>
    <w:rsid w:val="00314199"/>
    <w:rsid w:val="0033701A"/>
    <w:rsid w:val="00344E42"/>
    <w:rsid w:val="003556DB"/>
    <w:rsid w:val="00362B7B"/>
    <w:rsid w:val="0036675A"/>
    <w:rsid w:val="00370141"/>
    <w:rsid w:val="00385617"/>
    <w:rsid w:val="00393F9D"/>
    <w:rsid w:val="003950A0"/>
    <w:rsid w:val="003A20CF"/>
    <w:rsid w:val="003A7310"/>
    <w:rsid w:val="003B4575"/>
    <w:rsid w:val="003C6015"/>
    <w:rsid w:val="003E0674"/>
    <w:rsid w:val="003E3CF4"/>
    <w:rsid w:val="003F0271"/>
    <w:rsid w:val="003F4818"/>
    <w:rsid w:val="003F6F56"/>
    <w:rsid w:val="003F7B76"/>
    <w:rsid w:val="003F7EF4"/>
    <w:rsid w:val="004012B7"/>
    <w:rsid w:val="0040446E"/>
    <w:rsid w:val="00406783"/>
    <w:rsid w:val="00412C48"/>
    <w:rsid w:val="004241F6"/>
    <w:rsid w:val="0043005F"/>
    <w:rsid w:val="00434497"/>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240E1"/>
    <w:rsid w:val="005241A9"/>
    <w:rsid w:val="00527066"/>
    <w:rsid w:val="00532C7E"/>
    <w:rsid w:val="00537AFD"/>
    <w:rsid w:val="005420A8"/>
    <w:rsid w:val="00544149"/>
    <w:rsid w:val="005448F7"/>
    <w:rsid w:val="005501A9"/>
    <w:rsid w:val="005515A2"/>
    <w:rsid w:val="005556A2"/>
    <w:rsid w:val="00556A00"/>
    <w:rsid w:val="00557367"/>
    <w:rsid w:val="00571CAB"/>
    <w:rsid w:val="00576109"/>
    <w:rsid w:val="0058498C"/>
    <w:rsid w:val="00585D77"/>
    <w:rsid w:val="00590F9C"/>
    <w:rsid w:val="00591CEE"/>
    <w:rsid w:val="005B17FD"/>
    <w:rsid w:val="005B2388"/>
    <w:rsid w:val="005C1B0C"/>
    <w:rsid w:val="005C1D13"/>
    <w:rsid w:val="005C33B7"/>
    <w:rsid w:val="005D2EE9"/>
    <w:rsid w:val="005D6FC4"/>
    <w:rsid w:val="005D72CC"/>
    <w:rsid w:val="005F07EB"/>
    <w:rsid w:val="005F7447"/>
    <w:rsid w:val="00600C7C"/>
    <w:rsid w:val="00614C19"/>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3E5"/>
    <w:rsid w:val="006B5A60"/>
    <w:rsid w:val="006B7DFA"/>
    <w:rsid w:val="006C1662"/>
    <w:rsid w:val="006C50A0"/>
    <w:rsid w:val="006C6588"/>
    <w:rsid w:val="006C6B39"/>
    <w:rsid w:val="006D7122"/>
    <w:rsid w:val="006D7256"/>
    <w:rsid w:val="006E3049"/>
    <w:rsid w:val="006E374E"/>
    <w:rsid w:val="006F0C66"/>
    <w:rsid w:val="006F359E"/>
    <w:rsid w:val="00706AE9"/>
    <w:rsid w:val="00722794"/>
    <w:rsid w:val="00726CF4"/>
    <w:rsid w:val="007271F4"/>
    <w:rsid w:val="00735FB7"/>
    <w:rsid w:val="007415A2"/>
    <w:rsid w:val="0074728C"/>
    <w:rsid w:val="00781E56"/>
    <w:rsid w:val="00790A6E"/>
    <w:rsid w:val="00793C85"/>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7397"/>
    <w:rsid w:val="00811DFB"/>
    <w:rsid w:val="00815B23"/>
    <w:rsid w:val="00817C0C"/>
    <w:rsid w:val="00824CB0"/>
    <w:rsid w:val="00832CC3"/>
    <w:rsid w:val="00841D9E"/>
    <w:rsid w:val="008542CD"/>
    <w:rsid w:val="00862B27"/>
    <w:rsid w:val="008766CF"/>
    <w:rsid w:val="00877A45"/>
    <w:rsid w:val="008947B8"/>
    <w:rsid w:val="008A0367"/>
    <w:rsid w:val="008B7F12"/>
    <w:rsid w:val="008C479E"/>
    <w:rsid w:val="00910F3B"/>
    <w:rsid w:val="00916D37"/>
    <w:rsid w:val="00917173"/>
    <w:rsid w:val="009177F5"/>
    <w:rsid w:val="00920F3A"/>
    <w:rsid w:val="00924F05"/>
    <w:rsid w:val="00933418"/>
    <w:rsid w:val="0093666D"/>
    <w:rsid w:val="00946FC2"/>
    <w:rsid w:val="00951825"/>
    <w:rsid w:val="00953728"/>
    <w:rsid w:val="00963FB9"/>
    <w:rsid w:val="0097559D"/>
    <w:rsid w:val="00983F08"/>
    <w:rsid w:val="009A1E26"/>
    <w:rsid w:val="009B26E4"/>
    <w:rsid w:val="009B2C9B"/>
    <w:rsid w:val="009C3BD1"/>
    <w:rsid w:val="009D5454"/>
    <w:rsid w:val="009E10B3"/>
    <w:rsid w:val="009E6F83"/>
    <w:rsid w:val="009F4507"/>
    <w:rsid w:val="00A03578"/>
    <w:rsid w:val="00A05433"/>
    <w:rsid w:val="00A06E34"/>
    <w:rsid w:val="00A07785"/>
    <w:rsid w:val="00A132E2"/>
    <w:rsid w:val="00A15EFF"/>
    <w:rsid w:val="00A25135"/>
    <w:rsid w:val="00A26F7F"/>
    <w:rsid w:val="00A271A0"/>
    <w:rsid w:val="00A34BC1"/>
    <w:rsid w:val="00A5086B"/>
    <w:rsid w:val="00A60B6E"/>
    <w:rsid w:val="00A625BF"/>
    <w:rsid w:val="00A633B9"/>
    <w:rsid w:val="00A64429"/>
    <w:rsid w:val="00A64584"/>
    <w:rsid w:val="00A67769"/>
    <w:rsid w:val="00A7361C"/>
    <w:rsid w:val="00A73A7D"/>
    <w:rsid w:val="00A82506"/>
    <w:rsid w:val="00A85737"/>
    <w:rsid w:val="00A877BD"/>
    <w:rsid w:val="00A87E54"/>
    <w:rsid w:val="00A902C1"/>
    <w:rsid w:val="00A95C64"/>
    <w:rsid w:val="00AA77AB"/>
    <w:rsid w:val="00AB0DF3"/>
    <w:rsid w:val="00AB1AE5"/>
    <w:rsid w:val="00AB301F"/>
    <w:rsid w:val="00AB7A80"/>
    <w:rsid w:val="00AC1DC3"/>
    <w:rsid w:val="00AD3D71"/>
    <w:rsid w:val="00AD43CC"/>
    <w:rsid w:val="00AE6710"/>
    <w:rsid w:val="00AF0F2D"/>
    <w:rsid w:val="00AF2EAF"/>
    <w:rsid w:val="00B03DC9"/>
    <w:rsid w:val="00B14905"/>
    <w:rsid w:val="00B26E30"/>
    <w:rsid w:val="00B34D73"/>
    <w:rsid w:val="00B45ED1"/>
    <w:rsid w:val="00B51703"/>
    <w:rsid w:val="00B65025"/>
    <w:rsid w:val="00B671BF"/>
    <w:rsid w:val="00B80DEA"/>
    <w:rsid w:val="00B841AB"/>
    <w:rsid w:val="00B96917"/>
    <w:rsid w:val="00B97614"/>
    <w:rsid w:val="00BA55B7"/>
    <w:rsid w:val="00BB0F0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4BE7"/>
    <w:rsid w:val="00C77541"/>
    <w:rsid w:val="00C84847"/>
    <w:rsid w:val="00C93E8C"/>
    <w:rsid w:val="00CA1937"/>
    <w:rsid w:val="00CD525F"/>
    <w:rsid w:val="00CD63D6"/>
    <w:rsid w:val="00CD66EA"/>
    <w:rsid w:val="00CF03B8"/>
    <w:rsid w:val="00CF2784"/>
    <w:rsid w:val="00CF6CE6"/>
    <w:rsid w:val="00D06C9C"/>
    <w:rsid w:val="00D17B23"/>
    <w:rsid w:val="00D22047"/>
    <w:rsid w:val="00D266B0"/>
    <w:rsid w:val="00D33863"/>
    <w:rsid w:val="00D34073"/>
    <w:rsid w:val="00D34625"/>
    <w:rsid w:val="00D42014"/>
    <w:rsid w:val="00D57B36"/>
    <w:rsid w:val="00D7011E"/>
    <w:rsid w:val="00D7198C"/>
    <w:rsid w:val="00D72227"/>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F27A7"/>
    <w:rsid w:val="00E05B59"/>
    <w:rsid w:val="00E06C52"/>
    <w:rsid w:val="00E101F1"/>
    <w:rsid w:val="00E14EC8"/>
    <w:rsid w:val="00E169B7"/>
    <w:rsid w:val="00E263A1"/>
    <w:rsid w:val="00E27C39"/>
    <w:rsid w:val="00E27EA1"/>
    <w:rsid w:val="00E366B6"/>
    <w:rsid w:val="00E36B79"/>
    <w:rsid w:val="00E43CCD"/>
    <w:rsid w:val="00E53D05"/>
    <w:rsid w:val="00E62823"/>
    <w:rsid w:val="00E67805"/>
    <w:rsid w:val="00E94C68"/>
    <w:rsid w:val="00EB10E1"/>
    <w:rsid w:val="00EB7ACD"/>
    <w:rsid w:val="00EC0600"/>
    <w:rsid w:val="00EE0ADA"/>
    <w:rsid w:val="00EE130A"/>
    <w:rsid w:val="00EE3A06"/>
    <w:rsid w:val="00EE489A"/>
    <w:rsid w:val="00F028E3"/>
    <w:rsid w:val="00F05AE7"/>
    <w:rsid w:val="00F10880"/>
    <w:rsid w:val="00F1249F"/>
    <w:rsid w:val="00F240F5"/>
    <w:rsid w:val="00F3589A"/>
    <w:rsid w:val="00F44F70"/>
    <w:rsid w:val="00F5308E"/>
    <w:rsid w:val="00F62596"/>
    <w:rsid w:val="00F63F21"/>
    <w:rsid w:val="00F71A63"/>
    <w:rsid w:val="00F7510A"/>
    <w:rsid w:val="00F80327"/>
    <w:rsid w:val="00F8075F"/>
    <w:rsid w:val="00F814FC"/>
    <w:rsid w:val="00F83691"/>
    <w:rsid w:val="00F943E8"/>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OG-Directorio%20de%20Agencia/OG-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123</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7E4C3-41DF-4E24-8684-527AFA37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D151A-679A-490C-A494-6BAD0D1C6D75}">
  <ds:schemaRefs>
    <ds:schemaRef ds:uri="http://schemas.microsoft.com/sharepoint/v3/contenttype/forms"/>
  </ds:schemaRefs>
</ds:datastoreItem>
</file>

<file path=customXml/itemProps3.xml><?xml version="1.0" encoding="utf-8"?>
<ds:datastoreItem xmlns:ds="http://schemas.openxmlformats.org/officeDocument/2006/customXml" ds:itemID="{9F9F0A59-BD4C-47F8-86E9-6AC3CAC63A0C}">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F21279C0-2064-48AB-BEA8-262B47F6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Informacion General de la OG</vt:lpstr>
    </vt:vector>
  </TitlesOfParts>
  <Company>Hewlett-Packard Company</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Oficina del Gobernador</dc:title>
  <dc:subject>Información General</dc:subject>
  <dc:creator>3-1-1 Tu Línea de Servicios de Gobierno</dc:creator>
  <cp:keywords>OG</cp:keywords>
  <cp:lastModifiedBy>respondadmin</cp:lastModifiedBy>
  <cp:revision>6</cp:revision>
  <cp:lastPrinted>2012-08-24T15:47:00Z</cp:lastPrinted>
  <dcterms:created xsi:type="dcterms:W3CDTF">2012-09-19T13:14:00Z</dcterms:created>
  <dcterms:modified xsi:type="dcterms:W3CDTF">2016-01-05T17:24:00Z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