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172FB66" wp14:editId="03232F22">
                  <wp:extent cx="267335" cy="276225"/>
                  <wp:effectExtent l="19050" t="0" r="0" b="0"/>
                  <wp:docPr id="32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F7A5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t xml:space="preserve">El Departamento de Hacienda </w:t>
      </w:r>
      <w:r w:rsidR="00D56DD8">
        <w:rPr>
          <w:rFonts w:asciiTheme="minorHAnsi" w:hAnsiTheme="minorHAnsi" w:cs="Arial"/>
          <w:noProof/>
          <w:color w:val="000000"/>
          <w:lang w:val="es-PR"/>
        </w:rPr>
        <w:t xml:space="preserve">(DH) </w:t>
      </w:r>
      <w:r w:rsidRPr="00C62850">
        <w:rPr>
          <w:rFonts w:asciiTheme="minorHAnsi" w:hAnsiTheme="minorHAnsi" w:cs="Arial"/>
          <w:noProof/>
          <w:color w:val="000000"/>
          <w:lang w:val="es-PR"/>
        </w:rPr>
        <w:t>es responsable de garantizar la justicia contributiva y estabilidad fiscal que contribuya plenamente al bienestar social y económico de nuestro país. Formula e implanta la política fiscal, contributiva y financiera del Estado Libre Asociado de Puerto Rico</w:t>
      </w:r>
      <w:r w:rsidR="00842608">
        <w:rPr>
          <w:rFonts w:asciiTheme="minorHAnsi" w:hAnsiTheme="minorHAnsi" w:cs="Arial"/>
          <w:noProof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9349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5BDE6DE" wp14:editId="214EB6FB">
                  <wp:extent cx="276225" cy="276225"/>
                  <wp:effectExtent l="19050" t="0" r="9525" b="0"/>
                  <wp:docPr id="32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Default="00C857BA" w:rsidP="00F240F5">
      <w:pPr>
        <w:shd w:val="clear" w:color="auto" w:fill="FFFFFF"/>
        <w:spacing w:before="120" w:after="120" w:line="240" w:lineRule="auto"/>
        <w:rPr>
          <w:rStyle w:val="Hyperlink"/>
          <w:rFonts w:cs="Arial"/>
          <w:noProof/>
          <w:lang w:val="es-PR"/>
        </w:rPr>
      </w:pPr>
      <w:hyperlink r:id="rId14" w:history="1">
        <w:r w:rsidR="0049566C" w:rsidRPr="00163580">
          <w:rPr>
            <w:rStyle w:val="Hyperlink"/>
            <w:rFonts w:cs="Arial"/>
            <w:lang w:val="es-PR"/>
          </w:rPr>
          <w:t xml:space="preserve">Directorio de </w:t>
        </w:r>
        <w:r w:rsidR="0049566C" w:rsidRPr="00163580">
          <w:rPr>
            <w:rStyle w:val="Hyperlink"/>
            <w:rFonts w:cs="Arial"/>
            <w:noProof/>
            <w:lang w:val="es-PR"/>
          </w:rPr>
          <w:t>DH</w:t>
        </w:r>
      </w:hyperlink>
    </w:p>
    <w:p w:rsidR="00EF79F4" w:rsidRDefault="00EF79F4" w:rsidP="00F240F5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r>
        <w:rPr>
          <w:rFonts w:cs="Arial"/>
          <w:lang w:val="es-PR"/>
        </w:rPr>
        <w:t>Transacciones en PR.GOV:</w:t>
      </w:r>
    </w:p>
    <w:p w:rsidR="00EF79F4" w:rsidRPr="00EF79F4" w:rsidRDefault="00EF79F4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EF79F4">
        <w:rPr>
          <w:rFonts w:asciiTheme="minorHAnsi" w:eastAsia="Times New Roman" w:hAnsiTheme="minorHAnsi" w:cstheme="minorHAnsi"/>
          <w:color w:val="000000"/>
          <w:lang w:val="es-PR"/>
        </w:rPr>
        <w:t>Certificado de Deuda para Individuos y Corporaciones</w:t>
      </w:r>
    </w:p>
    <w:p w:rsidR="00EF79F4" w:rsidRPr="00EF79F4" w:rsidRDefault="00EF79F4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EF79F4">
        <w:rPr>
          <w:rFonts w:asciiTheme="minorHAnsi" w:eastAsia="Times New Roman" w:hAnsiTheme="minorHAnsi" w:cstheme="minorHAnsi"/>
          <w:color w:val="000000"/>
          <w:lang w:val="es-PR"/>
        </w:rPr>
        <w:t>Certificado de Radicación de Planillas</w:t>
      </w:r>
    </w:p>
    <w:p w:rsidR="00EF79F4" w:rsidRPr="00EF79F4" w:rsidRDefault="00EF79F4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EF79F4">
        <w:rPr>
          <w:rFonts w:asciiTheme="minorHAnsi" w:hAnsiTheme="minorHAnsi" w:cstheme="minorHAnsi"/>
          <w:bdr w:val="none" w:sz="0" w:space="0" w:color="auto" w:frame="1"/>
          <w:lang w:val="es-PR"/>
        </w:rPr>
        <w:t>Comprobante de Retención W2 y colecturía virtual</w:t>
      </w:r>
    </w:p>
    <w:p w:rsidR="00EF79F4" w:rsidRPr="00EF79F4" w:rsidRDefault="00C857BA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5" w:history="1">
        <w:r w:rsidR="00EF79F4" w:rsidRPr="00EF79F4">
          <w:rPr>
            <w:rFonts w:asciiTheme="minorHAnsi" w:eastAsia="Times New Roman" w:hAnsiTheme="minorHAnsi" w:cstheme="minorHAnsi"/>
            <w:color w:val="000000"/>
            <w:lang w:val="es-PR"/>
          </w:rPr>
          <w:t>Radicación de Planillas de Individuos y Corporaciones en Línea</w:t>
        </w:r>
      </w:hyperlink>
    </w:p>
    <w:p w:rsidR="00EF79F4" w:rsidRPr="00EF79F4" w:rsidRDefault="00C857BA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6" w:history="1">
        <w:r w:rsidR="00EF79F4" w:rsidRPr="00EF79F4">
          <w:rPr>
            <w:rFonts w:asciiTheme="minorHAnsi" w:eastAsia="Times New Roman" w:hAnsiTheme="minorHAnsi" w:cstheme="minorHAnsi"/>
            <w:color w:val="000000"/>
            <w:lang w:val="es-PR"/>
          </w:rPr>
          <w:t>IVU-Alerta (denuncias Confidenciales )</w:t>
        </w:r>
      </w:hyperlink>
    </w:p>
    <w:p w:rsidR="00EF79F4" w:rsidRPr="00EF79F4" w:rsidRDefault="00C857BA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7" w:history="1">
        <w:r w:rsidR="00EF79F4" w:rsidRPr="00EF79F4">
          <w:rPr>
            <w:rFonts w:asciiTheme="minorHAnsi" w:hAnsiTheme="minorHAnsi" w:cstheme="minorHAnsi"/>
            <w:color w:val="000000" w:themeColor="text1"/>
            <w:lang w:val="es-PR"/>
          </w:rPr>
          <w:t>Registro IVU Loto para Comerciantes</w:t>
        </w:r>
      </w:hyperlink>
    </w:p>
    <w:p w:rsidR="00EF79F4" w:rsidRPr="00EF79F4" w:rsidRDefault="00C857BA" w:rsidP="00EF79F4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color w:val="000000" w:themeColor="text1"/>
          <w:lang w:val="es-PR"/>
        </w:rPr>
      </w:pPr>
      <w:hyperlink r:id="rId18" w:history="1">
        <w:r w:rsidR="00EF79F4" w:rsidRPr="00EF79F4">
          <w:rPr>
            <w:rFonts w:asciiTheme="minorHAnsi" w:hAnsiTheme="minorHAnsi" w:cstheme="minorHAnsi"/>
            <w:color w:val="000000" w:themeColor="text1"/>
            <w:lang w:val="es-PR"/>
          </w:rPr>
          <w:t>Radicación y Pago de Planilla Mensual de IVU para comerciantes</w:t>
        </w:r>
      </w:hyperlink>
    </w:p>
    <w:p w:rsidR="00EF79F4" w:rsidRPr="00EF79F4" w:rsidRDefault="00C857BA" w:rsidP="00EF79F4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color w:val="000000" w:themeColor="text1"/>
          <w:lang w:val="es-PR"/>
        </w:rPr>
      </w:pPr>
      <w:hyperlink r:id="rId19" w:history="1">
        <w:r w:rsidR="00EF79F4" w:rsidRPr="00EF79F4">
          <w:rPr>
            <w:rFonts w:asciiTheme="minorHAnsi" w:hAnsiTheme="minorHAnsi" w:cstheme="minorHAnsi"/>
            <w:color w:val="000000" w:themeColor="text1"/>
            <w:lang w:val="es-PR"/>
          </w:rPr>
          <w:t>Estatus del Cheque de Estímulo Federal 2009-2010</w:t>
        </w:r>
      </w:hyperlink>
    </w:p>
    <w:p w:rsidR="00EF79F4" w:rsidRPr="00EF79F4" w:rsidRDefault="00C857BA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20" w:history="1">
        <w:r w:rsidR="00EF79F4" w:rsidRPr="00EF79F4">
          <w:rPr>
            <w:rFonts w:asciiTheme="minorHAnsi" w:hAnsiTheme="minorHAnsi" w:cstheme="minorHAnsi"/>
            <w:color w:val="000000" w:themeColor="text1"/>
            <w:lang w:val="es-PR"/>
          </w:rPr>
          <w:t>Pago Contribución Especial</w:t>
        </w:r>
      </w:hyperlink>
    </w:p>
    <w:p w:rsidR="00EF79F4" w:rsidRPr="00EF79F4" w:rsidRDefault="00EF79F4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EF79F4">
        <w:rPr>
          <w:rFonts w:asciiTheme="minorHAnsi" w:hAnsiTheme="minorHAnsi" w:cstheme="minorHAnsi"/>
          <w:color w:val="000000" w:themeColor="text1"/>
          <w:lang w:val="es-PR"/>
        </w:rPr>
        <w:t>Radicación de Licencias de Negocio (Bebidas Alcohólicas y Cigarrillos)</w:t>
      </w:r>
    </w:p>
    <w:p w:rsidR="00EF79F4" w:rsidRPr="00EF79F4" w:rsidRDefault="00C857BA" w:rsidP="00EF79F4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21" w:history="1">
        <w:r w:rsidR="00EF79F4" w:rsidRPr="00EF79F4">
          <w:rPr>
            <w:rFonts w:asciiTheme="minorHAnsi" w:hAnsiTheme="minorHAnsi" w:cstheme="minorHAnsi"/>
            <w:color w:val="000000" w:themeColor="text1"/>
            <w:lang w:val="es-PR"/>
          </w:rPr>
          <w:t>Crédito por Marbetes de Lujo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B6A88AA" wp14:editId="11098F3E">
                  <wp:extent cx="276225" cy="276225"/>
                  <wp:effectExtent l="19050" t="0" r="9525" b="0"/>
                  <wp:docPr id="32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60F63" w:rsidRPr="00660F63" w:rsidRDefault="00660F63" w:rsidP="00660F63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660F63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196DFA" w:rsidRPr="00660F63" w:rsidRDefault="00196DFA" w:rsidP="00660F63">
      <w:pPr>
        <w:pStyle w:val="ListParagraph"/>
        <w:numPr>
          <w:ilvl w:val="0"/>
          <w:numId w:val="3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660F63">
        <w:rPr>
          <w:rFonts w:eastAsia="Times New Roman" w:cs="Arial"/>
          <w:color w:val="000000"/>
          <w:lang w:val="es-PR"/>
        </w:rPr>
        <w:t xml:space="preserve">Administrar las leyes tributarias de manera justa y equitativa, </w:t>
      </w:r>
    </w:p>
    <w:p w:rsidR="00196DFA" w:rsidRPr="00660F63" w:rsidRDefault="00196DFA" w:rsidP="00660F63">
      <w:pPr>
        <w:pStyle w:val="ListParagraph"/>
        <w:numPr>
          <w:ilvl w:val="0"/>
          <w:numId w:val="3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660F63">
        <w:rPr>
          <w:rFonts w:eastAsia="Times New Roman" w:cs="Arial"/>
          <w:color w:val="000000"/>
          <w:lang w:val="es-PR"/>
        </w:rPr>
        <w:t>Custodiar diligentemente los fondos públicos y velar por los derechos de nuestros contribuyentes, para fomentar el desarrollo económico y social de Puerto Rico.</w:t>
      </w:r>
    </w:p>
    <w:p w:rsidR="0049566C" w:rsidRPr="00660F63" w:rsidRDefault="00196DFA" w:rsidP="00660F63">
      <w:pPr>
        <w:pStyle w:val="ListParagraph"/>
        <w:numPr>
          <w:ilvl w:val="0"/>
          <w:numId w:val="3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bookmarkStart w:id="1" w:name="PROG1550"/>
      <w:r w:rsidRPr="00660F63">
        <w:rPr>
          <w:rFonts w:eastAsia="Times New Roman" w:cs="Arial"/>
          <w:color w:val="000000"/>
          <w:lang w:val="es-PR"/>
        </w:rPr>
        <w:t xml:space="preserve">Administración de la Lotería </w:t>
      </w:r>
      <w:r w:rsidR="00090B12">
        <w:rPr>
          <w:rFonts w:eastAsia="Times New Roman" w:cs="Arial"/>
          <w:color w:val="000000"/>
          <w:lang w:val="es-PR"/>
        </w:rPr>
        <w:t xml:space="preserve">Tradicional </w:t>
      </w:r>
      <w:r w:rsidRPr="00660F63">
        <w:rPr>
          <w:rFonts w:eastAsia="Times New Roman" w:cs="Arial"/>
          <w:color w:val="000000"/>
          <w:lang w:val="es-PR"/>
        </w:rPr>
        <w:t xml:space="preserve">de Puerto Rico </w:t>
      </w:r>
      <w:bookmarkEnd w:id="1"/>
    </w:p>
    <w:p w:rsidR="00196DFA" w:rsidRPr="00660F63" w:rsidRDefault="00007D5C" w:rsidP="00660F63">
      <w:pPr>
        <w:pStyle w:val="ListParagraph"/>
        <w:numPr>
          <w:ilvl w:val="0"/>
          <w:numId w:val="3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bookmarkStart w:id="2" w:name="PROG1551"/>
      <w:r w:rsidRPr="00660F63">
        <w:rPr>
          <w:rFonts w:eastAsia="Times New Roman" w:cs="Arial"/>
          <w:color w:val="000000"/>
          <w:lang w:val="es-PR"/>
        </w:rPr>
        <w:t>Administra</w:t>
      </w:r>
      <w:r w:rsidR="00842608" w:rsidRPr="00660F63">
        <w:rPr>
          <w:rFonts w:eastAsia="Times New Roman" w:cs="Arial"/>
          <w:color w:val="000000"/>
          <w:lang w:val="es-PR"/>
        </w:rPr>
        <w:t>r</w:t>
      </w:r>
      <w:r w:rsidRPr="00660F63">
        <w:rPr>
          <w:rFonts w:eastAsia="Times New Roman" w:cs="Arial"/>
          <w:color w:val="000000"/>
          <w:lang w:val="es-PR"/>
        </w:rPr>
        <w:t xml:space="preserve"> las operac</w:t>
      </w:r>
      <w:r w:rsidR="00842608" w:rsidRPr="00660F63">
        <w:rPr>
          <w:rFonts w:eastAsia="Times New Roman" w:cs="Arial"/>
          <w:color w:val="000000"/>
          <w:lang w:val="es-PR"/>
        </w:rPr>
        <w:t>iones de la Lotería Electrónica</w:t>
      </w:r>
      <w:r w:rsidRPr="00660F63">
        <w:rPr>
          <w:rFonts w:eastAsia="Times New Roman" w:cs="Arial"/>
          <w:color w:val="000000"/>
          <w:lang w:val="es-PR"/>
        </w:rPr>
        <w:t xml:space="preserve"> </w:t>
      </w:r>
      <w:bookmarkEnd w:id="2"/>
    </w:p>
    <w:p w:rsidR="00007D5C" w:rsidRPr="00660F63" w:rsidRDefault="00007D5C" w:rsidP="00660F63">
      <w:pPr>
        <w:pStyle w:val="ListParagraph"/>
        <w:numPr>
          <w:ilvl w:val="0"/>
          <w:numId w:val="3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bookmarkStart w:id="3" w:name="PROG2045"/>
      <w:r w:rsidRPr="00660F63">
        <w:rPr>
          <w:rFonts w:eastAsia="Times New Roman" w:cs="Arial"/>
          <w:color w:val="000000"/>
          <w:lang w:val="es-PR"/>
        </w:rPr>
        <w:t>Diseña</w:t>
      </w:r>
      <w:r w:rsidR="00842608" w:rsidRPr="00660F63">
        <w:rPr>
          <w:rFonts w:eastAsia="Times New Roman" w:cs="Arial"/>
          <w:color w:val="000000"/>
          <w:lang w:val="es-PR"/>
        </w:rPr>
        <w:t>r</w:t>
      </w:r>
      <w:r w:rsidRPr="00660F63">
        <w:rPr>
          <w:rFonts w:eastAsia="Times New Roman" w:cs="Arial"/>
          <w:color w:val="000000"/>
          <w:lang w:val="es-PR"/>
        </w:rPr>
        <w:t xml:space="preserve"> y revisa</w:t>
      </w:r>
      <w:r w:rsidR="00842608" w:rsidRPr="00660F63">
        <w:rPr>
          <w:rFonts w:eastAsia="Times New Roman" w:cs="Arial"/>
          <w:color w:val="000000"/>
          <w:lang w:val="es-PR"/>
        </w:rPr>
        <w:t>r</w:t>
      </w:r>
      <w:r w:rsidRPr="00660F63">
        <w:rPr>
          <w:rFonts w:eastAsia="Times New Roman" w:cs="Arial"/>
          <w:color w:val="000000"/>
          <w:lang w:val="es-PR"/>
        </w:rPr>
        <w:t xml:space="preserve"> los sistemas de contabilidad del Gobierno de Puerto Rico</w:t>
      </w:r>
      <w:bookmarkEnd w:id="3"/>
    </w:p>
    <w:p w:rsidR="00007D5C" w:rsidRPr="00660F63" w:rsidRDefault="00007D5C" w:rsidP="00660F63">
      <w:pPr>
        <w:pStyle w:val="ListParagraph"/>
        <w:numPr>
          <w:ilvl w:val="0"/>
          <w:numId w:val="3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bookmarkStart w:id="4" w:name="PROG0001"/>
      <w:r w:rsidRPr="00660F63">
        <w:rPr>
          <w:rFonts w:eastAsia="Times New Roman" w:cs="Arial"/>
          <w:color w:val="000000"/>
          <w:lang w:val="es-PR"/>
        </w:rPr>
        <w:t>Establece</w:t>
      </w:r>
      <w:r w:rsidR="00842608" w:rsidRPr="00660F63">
        <w:rPr>
          <w:rFonts w:eastAsia="Times New Roman" w:cs="Arial"/>
          <w:color w:val="000000"/>
          <w:lang w:val="es-PR"/>
        </w:rPr>
        <w:t>r</w:t>
      </w:r>
      <w:r w:rsidRPr="00660F63">
        <w:rPr>
          <w:rFonts w:eastAsia="Times New Roman" w:cs="Arial"/>
          <w:color w:val="000000"/>
          <w:lang w:val="es-PR"/>
        </w:rPr>
        <w:t xml:space="preserve"> y administra</w:t>
      </w:r>
      <w:r w:rsidR="00842608" w:rsidRPr="00660F63">
        <w:rPr>
          <w:rFonts w:eastAsia="Times New Roman" w:cs="Arial"/>
          <w:color w:val="000000"/>
          <w:lang w:val="es-PR"/>
        </w:rPr>
        <w:t>r</w:t>
      </w:r>
      <w:r w:rsidRPr="00660F63">
        <w:rPr>
          <w:rFonts w:eastAsia="Times New Roman" w:cs="Arial"/>
          <w:color w:val="000000"/>
          <w:lang w:val="es-PR"/>
        </w:rPr>
        <w:t xml:space="preserve"> la política fiscal del Gobierno de Puerto Rico para recaudar la contribución impuesta de una forma eficiente</w:t>
      </w:r>
      <w:bookmarkEnd w:id="4"/>
    </w:p>
    <w:p w:rsidR="00007D5C" w:rsidRPr="00660F63" w:rsidRDefault="00007D5C" w:rsidP="00660F63">
      <w:pPr>
        <w:pStyle w:val="ListParagraph"/>
        <w:numPr>
          <w:ilvl w:val="0"/>
          <w:numId w:val="3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bookmarkStart w:id="5" w:name="PROG1283"/>
      <w:r w:rsidRPr="00660F63">
        <w:rPr>
          <w:rFonts w:eastAsia="Times New Roman" w:cs="Arial"/>
          <w:color w:val="000000"/>
          <w:lang w:val="es-PR"/>
        </w:rPr>
        <w:t>Evalúa y hace recomendaciones sobre los diferentes aspectos de las peticiones de exención contributiva que se radican bajo las disposiciones de las leyes de incentivos industriales de Puerto R</w:t>
      </w:r>
      <w:r w:rsidR="00842608" w:rsidRPr="00660F63">
        <w:rPr>
          <w:rFonts w:eastAsia="Times New Roman" w:cs="Arial"/>
          <w:color w:val="000000"/>
          <w:lang w:val="es-PR"/>
        </w:rPr>
        <w:t>ico y de otras leyes especiales</w:t>
      </w:r>
      <w:r w:rsidRPr="00660F63">
        <w:rPr>
          <w:rFonts w:eastAsia="Times New Roman" w:cs="Arial"/>
          <w:color w:val="000000"/>
          <w:lang w:val="es-PR"/>
        </w:rPr>
        <w:t xml:space="preserve"> </w:t>
      </w:r>
    </w:p>
    <w:p w:rsidR="00007D5C" w:rsidRPr="00660F63" w:rsidRDefault="00842608" w:rsidP="00660F63">
      <w:pPr>
        <w:pStyle w:val="ListParagraph"/>
        <w:numPr>
          <w:ilvl w:val="0"/>
          <w:numId w:val="3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660F63">
        <w:rPr>
          <w:rFonts w:eastAsia="Times New Roman" w:cs="Arial"/>
          <w:color w:val="000000"/>
          <w:lang w:val="es-PR"/>
        </w:rPr>
        <w:t>R</w:t>
      </w:r>
      <w:r w:rsidR="00007D5C" w:rsidRPr="00660F63">
        <w:rPr>
          <w:rFonts w:eastAsia="Times New Roman" w:cs="Arial"/>
          <w:color w:val="000000"/>
          <w:lang w:val="es-PR"/>
        </w:rPr>
        <w:t>ecopila datos estadísticos sobre las operaciones del Programa de Incentivos Contributivos de Puerto Rico. Trabaja en coordinación con la Oficina de Exención Contributiva Industrial, la Compañía de Fomento Indu</w:t>
      </w:r>
      <w:r w:rsidRPr="00660F63">
        <w:rPr>
          <w:rFonts w:eastAsia="Times New Roman" w:cs="Arial"/>
          <w:color w:val="000000"/>
          <w:lang w:val="es-PR"/>
        </w:rPr>
        <w:t>strial y la Compañía de Turismo</w:t>
      </w:r>
      <w:r w:rsidR="00007D5C" w:rsidRPr="00660F63">
        <w:rPr>
          <w:rFonts w:eastAsia="Times New Roman" w:cs="Arial"/>
          <w:color w:val="000000"/>
          <w:lang w:val="es-PR"/>
        </w:rPr>
        <w:t xml:space="preserve"> </w:t>
      </w:r>
    </w:p>
    <w:bookmarkEnd w:id="5"/>
    <w:p w:rsidR="006238C3" w:rsidRPr="004100ED" w:rsidRDefault="002B564A" w:rsidP="00EC721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Arial"/>
          <w:lang w:val="es-PR"/>
        </w:rPr>
      </w:pPr>
      <w:r w:rsidRPr="004100ED">
        <w:rPr>
          <w:rFonts w:eastAsia="Times New Roman" w:cs="Arial"/>
          <w:lang w:val="es-PR"/>
        </w:rPr>
        <w:t xml:space="preserve">Administra </w:t>
      </w:r>
      <w:bookmarkStart w:id="6" w:name="PROG1358"/>
      <w:r w:rsidRPr="004100ED">
        <w:rPr>
          <w:rFonts w:eastAsia="Times New Roman" w:cs="Arial"/>
          <w:lang w:val="es-PR"/>
        </w:rPr>
        <w:t>las contribuciones sobre ingresos, impuestos sobre ventas y uso, los arbitrios especiales y los impuestos sobre las bebidas alcohólicas. Además, fiscaliza las exenciones concedidas bajo las diferentes leyes de incentivos contributivos.</w:t>
      </w:r>
    </w:p>
    <w:p w:rsidR="0052743A" w:rsidRPr="0052743A" w:rsidRDefault="006238C3" w:rsidP="0052743A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lang w:val="es-PR" w:eastAsia="es-PR"/>
        </w:rPr>
      </w:pPr>
      <w:r w:rsidRPr="0052743A">
        <w:rPr>
          <w:rFonts w:asciiTheme="minorHAnsi" w:eastAsia="Times New Roman" w:hAnsiTheme="minorHAnsi" w:cstheme="minorHAnsi"/>
          <w:lang w:val="es-PR" w:eastAsia="es-PR"/>
        </w:rPr>
        <w:lastRenderedPageBreak/>
        <w:t xml:space="preserve">Otorga licencias para destilador, fabricante, rectificador, operador de almacenes de adeudo, envasador de bebidas alcohólicas, ventas de vinos y cervezas al detal, operación de velloneras, venta de cigarrillos, venta de vehículos de motor, venta de gasolina, venta de artículos de joyería, venta de partes y accesorios para vehículos, venta de cemento fabricado en Puerto Rico o en el exterior, venta de armas de fuego y municiones, y uso de máquinas de pasatiempo operadas por monedas. </w:t>
      </w:r>
    </w:p>
    <w:p w:rsidR="0052743A" w:rsidRPr="0052743A" w:rsidRDefault="00C857BA" w:rsidP="0052743A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lang w:val="es-PR" w:eastAsia="es-PR"/>
        </w:rPr>
      </w:pPr>
      <w:hyperlink r:id="rId23" w:history="1">
        <w:r w:rsidR="0052743A" w:rsidRPr="006E51CE">
          <w:rPr>
            <w:rStyle w:val="Hyperlink"/>
            <w:rFonts w:asciiTheme="minorHAnsi" w:eastAsia="Times New Roman" w:hAnsiTheme="minorHAnsi" w:cstheme="minorHAnsi"/>
            <w:lang w:val="es-PR" w:eastAsia="es-PR"/>
          </w:rPr>
          <w:t>Negociado de Servicio al Contribuyente</w:t>
        </w:r>
      </w:hyperlink>
      <w:r w:rsidR="0052743A" w:rsidRPr="0052743A">
        <w:rPr>
          <w:rFonts w:asciiTheme="minorHAnsi" w:eastAsia="Times New Roman" w:hAnsiTheme="minorHAnsi" w:cstheme="minorHAnsi"/>
          <w:lang w:val="es-PR" w:eastAsia="es-PR"/>
        </w:rPr>
        <w:t xml:space="preserve"> - </w:t>
      </w:r>
      <w:r w:rsidR="0052743A" w:rsidRPr="0052743A">
        <w:rPr>
          <w:rFonts w:asciiTheme="minorHAnsi" w:eastAsia="Times New Roman" w:hAnsiTheme="minorHAnsi" w:cstheme="minorHAnsi"/>
          <w:lang w:val="es-ES"/>
        </w:rPr>
        <w:t>Este Negociado es responsable de atender a los contribuyentes y representantes que visitan los Centros de Servicios para solicitar servicios relacionados a reclamaciones de reintegros, errores matemáticos, reintegros acreditados a deudas, reclamaciones de contribución patronal y todo asunto contributivo relacionado a las planillas de individuos, corporaciones, arbitrios e IVU. También, recibe, evalúa, resuelve y contesta la correspondencia relacionada con reclamaciones de índole contributiva y consultas de carácter general. Además, tramita solicitudes de copias simples o certificadas de planillas y certificaciones de radicación de planillas; así como solicitudes de registros de comerciantes, certificados de exención, enmiendas y duplicados de registros y otros asuntos relacionados al IVU. Orienta en los trámites relacionados con las planillas de herencias y donaciones. Tramita el Certificado de Relevo Total o Parcial de la Retención en el Origen sobre Pagos por Servicios Prestados (7%).</w:t>
      </w:r>
    </w:p>
    <w:p w:rsidR="0052743A" w:rsidRPr="003C1378" w:rsidRDefault="00C857BA" w:rsidP="0052743A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lang w:val="es-PR" w:eastAsia="es-PR"/>
        </w:rPr>
      </w:pPr>
      <w:hyperlink r:id="rId24" w:history="1">
        <w:r w:rsidR="0052743A" w:rsidRPr="00B70A6C">
          <w:rPr>
            <w:rStyle w:val="Hyperlink"/>
            <w:rFonts w:asciiTheme="minorHAnsi" w:eastAsia="Times New Roman" w:hAnsiTheme="minorHAnsi" w:cstheme="minorHAnsi"/>
            <w:lang w:val="es-PR" w:eastAsia="es-PR"/>
          </w:rPr>
          <w:t>Colecturías</w:t>
        </w:r>
      </w:hyperlink>
      <w:r w:rsidR="0052743A" w:rsidRPr="0052743A">
        <w:rPr>
          <w:rFonts w:asciiTheme="minorHAnsi" w:eastAsia="Times New Roman" w:hAnsiTheme="minorHAnsi" w:cstheme="minorHAnsi"/>
          <w:lang w:val="es-PR" w:eastAsia="es-PR"/>
        </w:rPr>
        <w:t xml:space="preserve"> - </w:t>
      </w:r>
      <w:r w:rsidR="0052743A" w:rsidRPr="0052743A">
        <w:rPr>
          <w:rFonts w:asciiTheme="minorHAnsi" w:eastAsia="Times New Roman" w:hAnsiTheme="minorHAnsi" w:cstheme="minorHAnsi"/>
          <w:lang w:val="es-ES"/>
        </w:rPr>
        <w:t>En las Colecturías de Rentas Internas se pueden radicar todas las planillas que requiere el Código de Rentas Internas de Puerto Rico de 1994, según enmendado; obtener certificaciones de deudas contributivas y certificaciones de radicación de planillas; pagar contribuciones de individuos, corporaciones, sociedades, herencia, donaciones, bebidas alcohólicas, arbitrios y contribución estimada; adquirir sellos de rentas internas, de suspensión de casos en corte, de asistencia legal, forenses y de los Colegios de Abogados, Ingenieros, Agrónomos, Electricistas y Plomeros; hacer pagos parciales a planes de pago otorgados en las Oficinas de Distrito de Cobro; pagar multas de tránsito; renovar marbetes de vehículos de motor; obtener marbetes para las máquinas de entretenimiento de adultos; y pagar los derechos por la renovación de las Licencias de Rentas Internas de Bebidas y Arbitrios.</w:t>
      </w:r>
    </w:p>
    <w:p w:rsidR="0052743A" w:rsidRPr="0052743A" w:rsidRDefault="0052743A" w:rsidP="0052743A">
      <w:pPr>
        <w:pStyle w:val="ListParagraph"/>
        <w:spacing w:after="0" w:line="240" w:lineRule="auto"/>
        <w:rPr>
          <w:rFonts w:asciiTheme="minorHAnsi" w:eastAsia="Times New Roman" w:hAnsiTheme="minorHAnsi" w:cstheme="minorHAnsi"/>
          <w:lang w:val="es-PR" w:eastAsia="es-PR"/>
        </w:rPr>
      </w:pPr>
    </w:p>
    <w:bookmarkEnd w:id="6"/>
    <w:p w:rsidR="004100ED" w:rsidRPr="00D349ED" w:rsidRDefault="004100ED" w:rsidP="00D349ED">
      <w:pPr>
        <w:spacing w:after="0" w:line="240" w:lineRule="auto"/>
        <w:rPr>
          <w:rFonts w:asciiTheme="minorHAnsi" w:eastAsia="Times New Roman" w:hAnsiTheme="minorHAnsi" w:cstheme="minorHAnsi"/>
          <w:lang w:val="es-PR" w:eastAsia="es-PR"/>
        </w:rPr>
      </w:pPr>
    </w:p>
    <w:sectPr w:rsidR="004100ED" w:rsidRPr="00D349ED" w:rsidSect="0049566C">
      <w:headerReference w:type="default" r:id="rId25"/>
      <w:footerReference w:type="default" r:id="rId26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ED" w:rsidRDefault="004100ED" w:rsidP="005501A9">
      <w:pPr>
        <w:spacing w:after="0" w:line="240" w:lineRule="auto"/>
      </w:pPr>
      <w:r>
        <w:separator/>
      </w:r>
    </w:p>
  </w:endnote>
  <w:endnote w:type="continuationSeparator" w:id="0">
    <w:p w:rsidR="004100ED" w:rsidRDefault="004100E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100ED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100ED" w:rsidRPr="00A625BF" w:rsidRDefault="004100ED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AB5DCEF" wp14:editId="1DE98582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B3870C" wp14:editId="5C50A16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100ED" w:rsidRPr="00A625BF" w:rsidRDefault="004100ED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E32D2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100ED" w:rsidRPr="00A625BF" w:rsidRDefault="004100ED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100ED" w:rsidRDefault="00410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ED" w:rsidRDefault="004100ED" w:rsidP="005501A9">
      <w:pPr>
        <w:spacing w:after="0" w:line="240" w:lineRule="auto"/>
      </w:pPr>
      <w:r>
        <w:separator/>
      </w:r>
    </w:p>
  </w:footnote>
  <w:footnote w:type="continuationSeparator" w:id="0">
    <w:p w:rsidR="004100ED" w:rsidRDefault="004100E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ED" w:rsidRDefault="004100ED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0ED" w:rsidRPr="00815B23" w:rsidRDefault="004100E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DH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100ED" w:rsidRPr="00815B23" w:rsidRDefault="004100E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6238C3" w:rsidRPr="00815B23" w:rsidRDefault="006238C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DH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6238C3" w:rsidRPr="00815B23" w:rsidRDefault="006238C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  <w:lang w:val="es-PR"/>
      </w:rPr>
      <w:t>Departamento de Hacienda (DH)</w:t>
    </w:r>
    <w:r>
      <w:rPr>
        <w:sz w:val="32"/>
        <w:szCs w:val="32"/>
        <w:lang w:val="es-PR"/>
      </w:rPr>
      <w:tab/>
    </w:r>
  </w:p>
  <w:p w:rsidR="004100ED" w:rsidRDefault="004100ED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100ED" w:rsidRDefault="004100ED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100ED" w:rsidRPr="001C2D5F" w:rsidRDefault="004100ED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A15C7"/>
    <w:multiLevelType w:val="hybridMultilevel"/>
    <w:tmpl w:val="2E94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875067"/>
    <w:multiLevelType w:val="hybridMultilevel"/>
    <w:tmpl w:val="7286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019AC"/>
    <w:multiLevelType w:val="hybridMultilevel"/>
    <w:tmpl w:val="53E4E19C"/>
    <w:lvl w:ilvl="0" w:tplc="9A9E32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7BEA"/>
    <w:multiLevelType w:val="hybridMultilevel"/>
    <w:tmpl w:val="388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81D0E"/>
    <w:multiLevelType w:val="hybridMultilevel"/>
    <w:tmpl w:val="971C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964EB"/>
    <w:multiLevelType w:val="hybridMultilevel"/>
    <w:tmpl w:val="B462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B4EB2"/>
    <w:multiLevelType w:val="hybridMultilevel"/>
    <w:tmpl w:val="6F24300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6C5B6C"/>
    <w:multiLevelType w:val="hybridMultilevel"/>
    <w:tmpl w:val="147C5422"/>
    <w:lvl w:ilvl="0" w:tplc="00867F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36"/>
  </w:num>
  <w:num w:numId="5">
    <w:abstractNumId w:val="20"/>
  </w:num>
  <w:num w:numId="6">
    <w:abstractNumId w:val="15"/>
  </w:num>
  <w:num w:numId="7">
    <w:abstractNumId w:val="25"/>
  </w:num>
  <w:num w:numId="8">
    <w:abstractNumId w:val="12"/>
  </w:num>
  <w:num w:numId="9">
    <w:abstractNumId w:val="28"/>
  </w:num>
  <w:num w:numId="10">
    <w:abstractNumId w:val="11"/>
  </w:num>
  <w:num w:numId="11">
    <w:abstractNumId w:val="2"/>
  </w:num>
  <w:num w:numId="12">
    <w:abstractNumId w:val="35"/>
  </w:num>
  <w:num w:numId="13">
    <w:abstractNumId w:val="4"/>
  </w:num>
  <w:num w:numId="14">
    <w:abstractNumId w:val="29"/>
  </w:num>
  <w:num w:numId="15">
    <w:abstractNumId w:val="6"/>
  </w:num>
  <w:num w:numId="16">
    <w:abstractNumId w:val="23"/>
  </w:num>
  <w:num w:numId="17">
    <w:abstractNumId w:val="5"/>
  </w:num>
  <w:num w:numId="18">
    <w:abstractNumId w:val="27"/>
  </w:num>
  <w:num w:numId="19">
    <w:abstractNumId w:val="16"/>
  </w:num>
  <w:num w:numId="20">
    <w:abstractNumId w:val="26"/>
  </w:num>
  <w:num w:numId="21">
    <w:abstractNumId w:val="14"/>
  </w:num>
  <w:num w:numId="22">
    <w:abstractNumId w:val="3"/>
  </w:num>
  <w:num w:numId="23">
    <w:abstractNumId w:val="32"/>
  </w:num>
  <w:num w:numId="24">
    <w:abstractNumId w:val="33"/>
  </w:num>
  <w:num w:numId="25">
    <w:abstractNumId w:val="10"/>
  </w:num>
  <w:num w:numId="26">
    <w:abstractNumId w:val="0"/>
  </w:num>
  <w:num w:numId="27">
    <w:abstractNumId w:val="22"/>
  </w:num>
  <w:num w:numId="28">
    <w:abstractNumId w:val="19"/>
  </w:num>
  <w:num w:numId="29">
    <w:abstractNumId w:val="17"/>
  </w:num>
  <w:num w:numId="30">
    <w:abstractNumId w:val="1"/>
  </w:num>
  <w:num w:numId="31">
    <w:abstractNumId w:val="18"/>
  </w:num>
  <w:num w:numId="32">
    <w:abstractNumId w:val="21"/>
  </w:num>
  <w:num w:numId="33">
    <w:abstractNumId w:val="7"/>
  </w:num>
  <w:num w:numId="34">
    <w:abstractNumId w:val="13"/>
  </w:num>
  <w:num w:numId="35">
    <w:abstractNumId w:val="24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7D5C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B12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6DFA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6C3C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0B75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947A6"/>
    <w:rsid w:val="002A7ACF"/>
    <w:rsid w:val="002B5156"/>
    <w:rsid w:val="002B564A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23094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1378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00ED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15FE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2743A"/>
    <w:rsid w:val="00532C7E"/>
    <w:rsid w:val="00537AFD"/>
    <w:rsid w:val="005420A8"/>
    <w:rsid w:val="00544149"/>
    <w:rsid w:val="005448F7"/>
    <w:rsid w:val="005501A9"/>
    <w:rsid w:val="005515A2"/>
    <w:rsid w:val="005524A3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238C3"/>
    <w:rsid w:val="00633154"/>
    <w:rsid w:val="00633672"/>
    <w:rsid w:val="00633E03"/>
    <w:rsid w:val="00644031"/>
    <w:rsid w:val="0065113A"/>
    <w:rsid w:val="00655D34"/>
    <w:rsid w:val="00655E15"/>
    <w:rsid w:val="00660F63"/>
    <w:rsid w:val="0066535D"/>
    <w:rsid w:val="00667D45"/>
    <w:rsid w:val="00675B66"/>
    <w:rsid w:val="006810A0"/>
    <w:rsid w:val="00681D7E"/>
    <w:rsid w:val="006823A0"/>
    <w:rsid w:val="0068260E"/>
    <w:rsid w:val="00682EDE"/>
    <w:rsid w:val="0068687E"/>
    <w:rsid w:val="00686AE4"/>
    <w:rsid w:val="00686BFC"/>
    <w:rsid w:val="00687F7E"/>
    <w:rsid w:val="00694504"/>
    <w:rsid w:val="006A2173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E51CE"/>
    <w:rsid w:val="006F0C66"/>
    <w:rsid w:val="006F359E"/>
    <w:rsid w:val="006F4054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E32D2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42608"/>
    <w:rsid w:val="008542CD"/>
    <w:rsid w:val="008766CF"/>
    <w:rsid w:val="00877A45"/>
    <w:rsid w:val="008947B8"/>
    <w:rsid w:val="008A0367"/>
    <w:rsid w:val="008B7F12"/>
    <w:rsid w:val="008C1C46"/>
    <w:rsid w:val="008C479E"/>
    <w:rsid w:val="00910F3B"/>
    <w:rsid w:val="00916D37"/>
    <w:rsid w:val="00917173"/>
    <w:rsid w:val="009177F5"/>
    <w:rsid w:val="00920F3A"/>
    <w:rsid w:val="00924285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5618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1F56"/>
    <w:rsid w:val="00B26E30"/>
    <w:rsid w:val="00B34D73"/>
    <w:rsid w:val="00B45ED1"/>
    <w:rsid w:val="00B51703"/>
    <w:rsid w:val="00B65025"/>
    <w:rsid w:val="00B671BF"/>
    <w:rsid w:val="00B70A6C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332F3"/>
    <w:rsid w:val="00C56D6C"/>
    <w:rsid w:val="00C57A67"/>
    <w:rsid w:val="00C614EA"/>
    <w:rsid w:val="00C62C17"/>
    <w:rsid w:val="00C7220A"/>
    <w:rsid w:val="00C77541"/>
    <w:rsid w:val="00C84847"/>
    <w:rsid w:val="00C857BA"/>
    <w:rsid w:val="00CA1937"/>
    <w:rsid w:val="00CB7A74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349ED"/>
    <w:rsid w:val="00D42014"/>
    <w:rsid w:val="00D56DD8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C7211"/>
    <w:rsid w:val="00EE0ADA"/>
    <w:rsid w:val="00EE130A"/>
    <w:rsid w:val="00EE3A06"/>
    <w:rsid w:val="00EE489A"/>
    <w:rsid w:val="00EF79F4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A0E1F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ivu.hacienda.gobierno.pr/Spanish/AUT/welcome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rra.hacienda.gobierno.pr/marbeteslujo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ivuloto.pr.gov/Pages/Comerciantes.asp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cienda.gobierno.pr/IvuAlerta" TargetMode="External"/><Relationship Id="rId20" Type="http://schemas.openxmlformats.org/officeDocument/2006/relationships/hyperlink" Target="https://colecturia.hacienda.gobierno.pr/Port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H-Directorio%20de%20Colectur&#237;as/DH-Directorio%20de%20Colecturia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acienda.gobierno.pr/planillas_y_formularios/planilla_en_linea.html" TargetMode="External"/><Relationship Id="rId23" Type="http://schemas.openxmlformats.org/officeDocument/2006/relationships/hyperlink" Target="https://spnavigation.respondcrm.com/AppViewer.html?q=https://311prkb.respondcrm.com/respondweb/DH-Directorio%20de%20Centros%20de%20Servicios%20al%20Contribuyente/DH-Directorio%20de%20Centros%20de%20Servicios%20al%20Contribuyente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hacienda.pr.gov/estimulo_federa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H-Directorio%20de%20Agencia/DH-000-Directorio%20de%20Agencia.pdf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ertran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4982-AEBC-4854-87D1-395F7C3A4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15032-003A-48A8-A15C-767C732670B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D8EC513-AA84-41C5-BB4F-63B82733C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18631-E6FD-46E0-9327-7305D12D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43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DH</vt:lpstr>
    </vt:vector>
  </TitlesOfParts>
  <Company>Hewlett-Packard Company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DH</dc:title>
  <dc:subject>Información General</dc:subject>
  <dc:creator>3-1-1 Tu Línea de Servicios de Gobierno</dc:creator>
  <cp:keywords>DH</cp:keywords>
  <cp:lastModifiedBy>respondadmin</cp:lastModifiedBy>
  <cp:revision>17</cp:revision>
  <cp:lastPrinted>2012-09-20T13:56:00Z</cp:lastPrinted>
  <dcterms:created xsi:type="dcterms:W3CDTF">2012-10-12T14:45:00Z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