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284EDD07" wp14:editId="74822BEF">
                  <wp:extent cx="267335" cy="276225"/>
                  <wp:effectExtent l="19050" t="0" r="0" b="0"/>
                  <wp:docPr id="134"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E11DC2" w:rsidRDefault="00E11DC2" w:rsidP="00E11DC2">
      <w:pPr>
        <w:spacing w:before="120" w:after="120" w:line="240" w:lineRule="auto"/>
        <w:rPr>
          <w:rFonts w:asciiTheme="minorHAnsi" w:hAnsiTheme="minorHAnsi" w:cstheme="minorHAnsi"/>
          <w:lang w:val="es-PR"/>
        </w:rPr>
      </w:pPr>
      <w:r>
        <w:rPr>
          <w:rFonts w:asciiTheme="minorHAnsi" w:hAnsiTheme="minorHAnsi" w:cstheme="minorHAnsi"/>
          <w:lang w:val="es-PR"/>
        </w:rPr>
        <w:t>La Autoridad del Distrito del Centro de Convenciones de Puerto Rico es una corporación pública. La misma dispone el desarrollo, la administración y la fiscalización de las instalaciones del nuevo Distrito. Estas incluyen el moderno Centro de Convenciones, el Coliseo de Puerto Rico José Miguel Agrelot, el recién inaugurado Antiguo Casino, al igual que la construcción de oficinas, el área comercial y residencial.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E11DC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7E67DC1" wp14:editId="2073213E">
                  <wp:extent cx="276225" cy="276225"/>
                  <wp:effectExtent l="19050" t="0" r="9525" b="0"/>
                  <wp:docPr id="135"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49566C" w:rsidRPr="00A25135" w:rsidRDefault="00F30622" w:rsidP="00F240F5">
      <w:pPr>
        <w:shd w:val="clear" w:color="auto" w:fill="FFFFFF"/>
        <w:spacing w:before="120" w:after="120" w:line="240" w:lineRule="auto"/>
        <w:rPr>
          <w:rFonts w:cs="Arial"/>
          <w:color w:val="000000"/>
          <w:lang w:val="es-PR"/>
        </w:rPr>
      </w:pPr>
      <w:hyperlink r:id="rId14" w:history="1">
        <w:r w:rsidR="0049566C" w:rsidRPr="00CD66EA">
          <w:rPr>
            <w:rStyle w:val="Hyperlink"/>
            <w:rFonts w:cs="Arial"/>
            <w:lang w:val="es-PR"/>
          </w:rPr>
          <w:t xml:space="preserve">Directorio de </w:t>
        </w:r>
        <w:r w:rsidR="0049566C" w:rsidRPr="00CD66EA">
          <w:rPr>
            <w:rStyle w:val="Hyperlink"/>
            <w:rFonts w:cs="Arial"/>
            <w:noProof/>
            <w:lang w:val="es-PR"/>
          </w:rPr>
          <w:t>ADCCPR</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1B37C905" wp14:editId="462781E2">
                  <wp:extent cx="276225" cy="276225"/>
                  <wp:effectExtent l="19050" t="0" r="9525" b="0"/>
                  <wp:docPr id="136"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9566C" w:rsidRPr="00154C47" w:rsidRDefault="0049566C" w:rsidP="00D2266A">
      <w:pPr>
        <w:spacing w:before="120" w:after="120" w:line="240" w:lineRule="auto"/>
        <w:rPr>
          <w:rFonts w:asciiTheme="minorHAnsi" w:eastAsia="Times New Roman" w:hAnsiTheme="minorHAnsi" w:cstheme="minorHAnsi"/>
          <w:color w:val="000000"/>
          <w:lang w:val="es-PR"/>
        </w:rPr>
      </w:pPr>
      <w:r w:rsidRPr="00154C47">
        <w:rPr>
          <w:rFonts w:asciiTheme="minorHAnsi" w:eastAsia="Times New Roman" w:hAnsiTheme="minorHAnsi" w:cstheme="minorHAnsi"/>
          <w:color w:val="000000"/>
          <w:lang w:val="es-PR"/>
        </w:rPr>
        <w:t>Algunos de los servicios ofrecidos por la agencia son los siguientes:</w:t>
      </w:r>
    </w:p>
    <w:p w:rsidR="00D2266A" w:rsidRPr="0099437A" w:rsidRDefault="00D2266A" w:rsidP="00D2266A">
      <w:pPr>
        <w:pStyle w:val="ListParagraph"/>
        <w:numPr>
          <w:ilvl w:val="0"/>
          <w:numId w:val="30"/>
        </w:numPr>
        <w:spacing w:before="120" w:after="120" w:line="240" w:lineRule="auto"/>
        <w:contextualSpacing w:val="0"/>
        <w:rPr>
          <w:rFonts w:asciiTheme="minorHAnsi" w:eastAsia="Times New Roman" w:hAnsiTheme="minorHAnsi" w:cstheme="minorHAnsi"/>
          <w:lang w:val="es-PR"/>
        </w:rPr>
      </w:pPr>
      <w:r w:rsidRPr="0099437A">
        <w:rPr>
          <w:rFonts w:asciiTheme="minorHAnsi" w:eastAsia="Times New Roman" w:hAnsiTheme="minorHAnsi" w:cstheme="minorHAnsi"/>
          <w:lang w:val="es-PR"/>
        </w:rPr>
        <w:t xml:space="preserve">Horario de Operaciones - </w:t>
      </w:r>
      <w:r w:rsidR="00E735B3" w:rsidRPr="0099437A">
        <w:rPr>
          <w:rFonts w:asciiTheme="minorHAnsi" w:eastAsia="Times New Roman" w:hAnsiTheme="minorHAnsi" w:cstheme="minorHAnsi"/>
          <w:lang w:val="es-PR"/>
        </w:rPr>
        <w:t>Satisfacer las necesidades del sector de convenciones y reunión proveyendo facilidades de primera para los clientes.</w:t>
      </w:r>
    </w:p>
    <w:p w:rsidR="00E735B3" w:rsidRPr="0099437A" w:rsidRDefault="00D2266A" w:rsidP="00242D9F">
      <w:pPr>
        <w:pStyle w:val="ListParagraph"/>
        <w:numPr>
          <w:ilvl w:val="0"/>
          <w:numId w:val="30"/>
        </w:numPr>
        <w:spacing w:before="120" w:after="120" w:line="240" w:lineRule="auto"/>
        <w:contextualSpacing w:val="0"/>
        <w:rPr>
          <w:rFonts w:asciiTheme="minorHAnsi" w:eastAsia="Times New Roman" w:hAnsiTheme="minorHAnsi" w:cstheme="minorHAnsi"/>
          <w:lang w:val="es-PR"/>
        </w:rPr>
      </w:pPr>
      <w:r w:rsidRPr="0099437A">
        <w:rPr>
          <w:rFonts w:asciiTheme="minorHAnsi" w:hAnsiTheme="minorHAnsi" w:cstheme="minorHAnsi"/>
          <w:lang w:val="es-ES_tradnl"/>
        </w:rPr>
        <w:t>Mostrador de Información - Provee información sobre restaurantes, centros de compras, lugares de entretenimiento y atracciones turísticas en Puerto Ri</w:t>
      </w:r>
      <w:r w:rsidR="0099437A">
        <w:rPr>
          <w:rFonts w:asciiTheme="minorHAnsi" w:hAnsiTheme="minorHAnsi" w:cstheme="minorHAnsi"/>
          <w:lang w:val="es-ES_tradnl"/>
        </w:rPr>
        <w:t xml:space="preserve">co. El mostrador de información </w:t>
      </w:r>
      <w:r w:rsidRPr="0099437A">
        <w:rPr>
          <w:rFonts w:asciiTheme="minorHAnsi" w:hAnsiTheme="minorHAnsi" w:cstheme="minorHAnsi"/>
          <w:lang w:val="es-ES_tradnl"/>
        </w:rPr>
        <w:t>está convenientemente localizado en el vestíbulo principal y disponible durante reuniones, conferencias y ferias comerciales</w:t>
      </w:r>
      <w:r w:rsidR="00242D9F" w:rsidRPr="0099437A">
        <w:rPr>
          <w:rFonts w:asciiTheme="minorHAnsi" w:eastAsia="Times New Roman" w:hAnsiTheme="minorHAnsi" w:cstheme="minorHAnsi"/>
          <w:lang w:val="es-PR"/>
        </w:rPr>
        <w:t>.</w:t>
      </w:r>
    </w:p>
    <w:p w:rsidR="00242D9F" w:rsidRPr="0099437A" w:rsidRDefault="00242D9F" w:rsidP="00242D9F">
      <w:pPr>
        <w:pStyle w:val="ListParagraph"/>
        <w:numPr>
          <w:ilvl w:val="0"/>
          <w:numId w:val="30"/>
        </w:numPr>
        <w:spacing w:before="120" w:after="120" w:line="240" w:lineRule="auto"/>
        <w:contextualSpacing w:val="0"/>
        <w:rPr>
          <w:rFonts w:asciiTheme="minorHAnsi" w:eastAsia="Times New Roman" w:hAnsiTheme="minorHAnsi" w:cstheme="minorHAnsi"/>
          <w:lang w:val="es-PR"/>
        </w:rPr>
      </w:pPr>
      <w:r w:rsidRPr="0099437A">
        <w:rPr>
          <w:rFonts w:asciiTheme="minorHAnsi" w:hAnsiTheme="minorHAnsi" w:cstheme="minorHAnsi"/>
          <w:lang w:val="es-ES_tradnl"/>
        </w:rPr>
        <w:t>Telecomunicaciones e Internet - El Departamento de Telecomunicaciones provee servicios exclusivos en el Centro que pueden ser adaptados para llenar las necesidades específicas de exhibidores y organizadores de eventos. La facilidad puede proveer conexiones de Internet de banda ancha e inalámbrica de alta velocidad (T-1), vídeo-conferencias y traducciones simultáneas, entre otros servicios. Todas las salas de reuniones y de baile están equipadas con conexión y capacidades de Ethernet. Los teléfonos son instalados y facturados de acuerdo a las especificaciones de la orden del cliente.</w:t>
      </w:r>
    </w:p>
    <w:p w:rsidR="0049566C" w:rsidRPr="0099437A" w:rsidRDefault="0049566C" w:rsidP="00D2266A">
      <w:pPr>
        <w:spacing w:before="120" w:after="120" w:line="240" w:lineRule="auto"/>
        <w:rPr>
          <w:rFonts w:asciiTheme="minorHAnsi" w:eastAsia="Times New Roman" w:hAnsiTheme="minorHAnsi" w:cstheme="minorHAnsi"/>
          <w:lang w:val="es-PR"/>
        </w:rPr>
      </w:pPr>
    </w:p>
    <w:p w:rsidR="00E735B3" w:rsidRPr="0099437A" w:rsidRDefault="00E735B3" w:rsidP="00E735B3">
      <w:pPr>
        <w:pStyle w:val="ListParagraph"/>
        <w:numPr>
          <w:ilvl w:val="0"/>
          <w:numId w:val="30"/>
        </w:numPr>
        <w:spacing w:before="120" w:after="120" w:line="240" w:lineRule="auto"/>
        <w:rPr>
          <w:rFonts w:eastAsia="Times New Roman" w:cs="Arial"/>
          <w:lang w:val="es-PR"/>
        </w:rPr>
        <w:sectPr w:rsidR="00E735B3" w:rsidRPr="0099437A"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49566C" w:rsidRPr="0099437A" w:rsidRDefault="0049566C" w:rsidP="00A25135">
      <w:pPr>
        <w:spacing w:before="120" w:after="120" w:line="240" w:lineRule="auto"/>
        <w:rPr>
          <w:rFonts w:eastAsia="Times New Roman" w:cs="Arial"/>
          <w:lang w:val="es-PR"/>
        </w:rPr>
      </w:pPr>
    </w:p>
    <w:sectPr w:rsidR="0049566C" w:rsidRPr="0099437A"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C2" w:rsidRDefault="00E11DC2" w:rsidP="005501A9">
      <w:pPr>
        <w:spacing w:after="0" w:line="240" w:lineRule="auto"/>
      </w:pPr>
      <w:r>
        <w:separator/>
      </w:r>
    </w:p>
  </w:endnote>
  <w:endnote w:type="continuationSeparator" w:id="0">
    <w:p w:rsidR="00E11DC2" w:rsidRDefault="00E11DC2"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C2" w:rsidRDefault="00E11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E11DC2" w:rsidRPr="00A625BF" w:rsidTr="00A625BF">
      <w:tc>
        <w:tcPr>
          <w:tcW w:w="2394" w:type="dxa"/>
          <w:shd w:val="clear" w:color="auto" w:fill="FFFFFF" w:themeFill="background1"/>
          <w:vAlign w:val="center"/>
        </w:tcPr>
        <w:p w:rsidR="00E11DC2" w:rsidRPr="00A625BF" w:rsidRDefault="00E11DC2"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798528" behindDoc="0" locked="0" layoutInCell="1" allowOverlap="1" wp14:anchorId="339BD15A" wp14:editId="7BBB299B">
                <wp:simplePos x="0" y="0"/>
                <wp:positionH relativeFrom="column">
                  <wp:posOffset>-457200</wp:posOffset>
                </wp:positionH>
                <wp:positionV relativeFrom="paragraph">
                  <wp:posOffset>116205</wp:posOffset>
                </wp:positionV>
                <wp:extent cx="333375" cy="259715"/>
                <wp:effectExtent l="0" t="0" r="9525" b="6985"/>
                <wp:wrapSquare wrapText="bothSides"/>
                <wp:docPr id="1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1800576" behindDoc="0" locked="0" layoutInCell="1" allowOverlap="1" wp14:anchorId="56381D30" wp14:editId="41C49A45">
                    <wp:simplePos x="0" y="0"/>
                    <wp:positionH relativeFrom="column">
                      <wp:posOffset>-455930</wp:posOffset>
                    </wp:positionH>
                    <wp:positionV relativeFrom="paragraph">
                      <wp:posOffset>39370</wp:posOffset>
                    </wp:positionV>
                    <wp:extent cx="5986145" cy="635"/>
                    <wp:effectExtent l="10795" t="10795" r="13335" b="7620"/>
                    <wp:wrapNone/>
                    <wp:docPr id="78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70" o:spid="_x0000_s1026" type="#_x0000_t32" style="position:absolute;margin-left:-35.9pt;margin-top:3.1pt;width:471.35pt;height:.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GxIwIAAEA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DuLtGxIwIAAEA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E11DC2" w:rsidRPr="00A625BF" w:rsidRDefault="00E11DC2" w:rsidP="00981DE9">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3-1-1 Tu Línea de Servicios</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Gobierno</w:t>
          </w:r>
        </w:p>
      </w:tc>
      <w:tc>
        <w:tcPr>
          <w:tcW w:w="2988" w:type="dxa"/>
          <w:shd w:val="clear" w:color="auto" w:fill="FFFFFF" w:themeFill="background1"/>
          <w:vAlign w:val="center"/>
        </w:tcPr>
        <w:p w:rsidR="00E11DC2" w:rsidRPr="00A625BF" w:rsidRDefault="00E11DC2"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E11DC2" w:rsidRDefault="00E11D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C2" w:rsidRDefault="00E11D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E11DC2" w:rsidRPr="00A625BF" w:rsidTr="00A625BF">
      <w:tc>
        <w:tcPr>
          <w:tcW w:w="2394" w:type="dxa"/>
          <w:shd w:val="clear" w:color="auto" w:fill="FFFFFF" w:themeFill="background1"/>
          <w:vAlign w:val="center"/>
        </w:tcPr>
        <w:p w:rsidR="00E11DC2" w:rsidRPr="00A625BF" w:rsidRDefault="00E11DC2"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E11DC2" w:rsidRPr="00A625BF" w:rsidRDefault="00E11DC2"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E11DC2" w:rsidRPr="00A625BF" w:rsidRDefault="00E11DC2"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E11DC2" w:rsidRDefault="00E11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C2" w:rsidRDefault="00E11DC2" w:rsidP="005501A9">
      <w:pPr>
        <w:spacing w:after="0" w:line="240" w:lineRule="auto"/>
      </w:pPr>
      <w:r>
        <w:separator/>
      </w:r>
    </w:p>
  </w:footnote>
  <w:footnote w:type="continuationSeparator" w:id="0">
    <w:p w:rsidR="00E11DC2" w:rsidRDefault="00E11DC2"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C2" w:rsidRDefault="00E11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C2" w:rsidRDefault="00E11DC2"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799552" behindDoc="0" locked="0" layoutInCell="1" allowOverlap="1" wp14:anchorId="1E6D4A73" wp14:editId="61CDEA21">
              <wp:simplePos x="0" y="0"/>
              <wp:positionH relativeFrom="column">
                <wp:posOffset>4946650</wp:posOffset>
              </wp:positionH>
              <wp:positionV relativeFrom="paragraph">
                <wp:posOffset>84455</wp:posOffset>
              </wp:positionV>
              <wp:extent cx="1050290" cy="349250"/>
              <wp:effectExtent l="12700" t="8255" r="13335" b="13970"/>
              <wp:wrapNone/>
              <wp:docPr id="78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E11DC2" w:rsidRPr="00815B23" w:rsidRDefault="00E11DC2" w:rsidP="00BC089D">
                          <w:pPr>
                            <w:spacing w:after="0" w:line="240" w:lineRule="auto"/>
                            <w:jc w:val="center"/>
                            <w:rPr>
                              <w:sz w:val="16"/>
                              <w:szCs w:val="16"/>
                              <w:lang w:val="es-PR"/>
                            </w:rPr>
                          </w:pPr>
                          <w:r w:rsidRPr="00C62850">
                            <w:rPr>
                              <w:noProof/>
                              <w:sz w:val="16"/>
                              <w:szCs w:val="16"/>
                              <w:lang w:val="es-PR"/>
                            </w:rPr>
                            <w:t>ADCCPR</w:t>
                          </w:r>
                          <w:r>
                            <w:rPr>
                              <w:sz w:val="16"/>
                              <w:szCs w:val="16"/>
                              <w:lang w:val="es-PR"/>
                            </w:rPr>
                            <w:t>-001</w:t>
                          </w:r>
                        </w:p>
                        <w:p w:rsidR="00E11DC2" w:rsidRPr="00815B23" w:rsidRDefault="00E11DC2"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9" o:spid="_x0000_s1026" type="#_x0000_t202" style="position:absolute;margin-left:389.5pt;margin-top:6.65pt;width:82.7pt;height:27.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4vo2dywCAABTBAAADgAAAAAAAAAAAAAAAAAuAgAAZHJz&#10;L2Uyb0RvYy54bWxQSwECLQAUAAYACAAAACEASIBzPd4AAAAJAQAADwAAAAAAAAAAAAAAAACGBAAA&#10;ZHJzL2Rvd25yZXYueG1sUEsFBgAAAAAEAAQA8wAAAJEFAAAAAA==&#10;">
              <v:textbox style="mso-fit-shape-to-text:t">
                <w:txbxContent>
                  <w:p w:rsidR="00E11DC2" w:rsidRPr="00815B23" w:rsidRDefault="00E11DC2" w:rsidP="00BC089D">
                    <w:pPr>
                      <w:spacing w:after="0" w:line="240" w:lineRule="auto"/>
                      <w:jc w:val="center"/>
                      <w:rPr>
                        <w:sz w:val="16"/>
                        <w:szCs w:val="16"/>
                        <w:lang w:val="es-PR"/>
                      </w:rPr>
                    </w:pPr>
                    <w:r w:rsidRPr="00C62850">
                      <w:rPr>
                        <w:noProof/>
                        <w:sz w:val="16"/>
                        <w:szCs w:val="16"/>
                        <w:lang w:val="es-PR"/>
                      </w:rPr>
                      <w:t>ADCCPR</w:t>
                    </w:r>
                    <w:r>
                      <w:rPr>
                        <w:sz w:val="16"/>
                        <w:szCs w:val="16"/>
                        <w:lang w:val="es-PR"/>
                      </w:rPr>
                      <w:t>-001</w:t>
                    </w:r>
                  </w:p>
                  <w:p w:rsidR="00E11DC2" w:rsidRPr="00815B23" w:rsidRDefault="00E11DC2"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Autoridad del Distrito del Centro de Convenciones de Puerto Rico</w:t>
    </w:r>
    <w:r>
      <w:rPr>
        <w:sz w:val="32"/>
        <w:szCs w:val="32"/>
        <w:lang w:val="es-PR"/>
      </w:rPr>
      <w:tab/>
    </w:r>
  </w:p>
  <w:p w:rsidR="00E11DC2" w:rsidRDefault="00E11DC2" w:rsidP="0047186A">
    <w:pPr>
      <w:spacing w:after="0" w:line="240" w:lineRule="auto"/>
      <w:rPr>
        <w:b/>
        <w:sz w:val="28"/>
        <w:szCs w:val="28"/>
        <w:lang w:val="es-PR"/>
      </w:rPr>
    </w:pPr>
    <w:r>
      <w:rPr>
        <w:b/>
        <w:sz w:val="28"/>
        <w:szCs w:val="28"/>
        <w:lang w:val="es-PR"/>
      </w:rPr>
      <w:t>Información General</w:t>
    </w:r>
  </w:p>
  <w:p w:rsidR="00E11DC2" w:rsidRDefault="00E11DC2" w:rsidP="0047186A">
    <w:pPr>
      <w:spacing w:after="0" w:line="240" w:lineRule="auto"/>
      <w:rPr>
        <w:b/>
        <w:sz w:val="28"/>
        <w:szCs w:val="28"/>
        <w:lang w:val="es-PR"/>
      </w:rPr>
    </w:pPr>
    <w:r w:rsidRPr="00F240F5">
      <w:rPr>
        <w:b/>
        <w:sz w:val="28"/>
        <w:szCs w:val="28"/>
        <w:highlight w:val="yellow"/>
        <w:lang w:val="es-PR"/>
      </w:rPr>
      <w:t>AGENCIA NO INTEGRADA</w:t>
    </w:r>
  </w:p>
  <w:p w:rsidR="00E11DC2" w:rsidRPr="001C2D5F" w:rsidRDefault="00E11DC2"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C2" w:rsidRDefault="00E11D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C2" w:rsidRDefault="00E11DC2"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E11DC2" w:rsidRPr="00815B23" w:rsidRDefault="00E11DC2"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E11DC2" w:rsidRPr="00815B23" w:rsidRDefault="00E11DC2"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E11DC2" w:rsidRPr="00815B23" w:rsidRDefault="00E11DC2"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E11DC2" w:rsidRPr="00815B23" w:rsidRDefault="00E11DC2"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Comisión de Derechos Civiles</w:t>
    </w:r>
    <w:r>
      <w:rPr>
        <w:sz w:val="32"/>
        <w:szCs w:val="32"/>
        <w:lang w:val="es-PR"/>
      </w:rPr>
      <w:tab/>
    </w:r>
  </w:p>
  <w:p w:rsidR="00E11DC2" w:rsidRDefault="00E11DC2" w:rsidP="0047186A">
    <w:pPr>
      <w:spacing w:after="0" w:line="240" w:lineRule="auto"/>
      <w:rPr>
        <w:b/>
        <w:sz w:val="28"/>
        <w:szCs w:val="28"/>
        <w:lang w:val="es-PR"/>
      </w:rPr>
    </w:pPr>
    <w:r>
      <w:rPr>
        <w:b/>
        <w:sz w:val="28"/>
        <w:szCs w:val="28"/>
        <w:lang w:val="es-PR"/>
      </w:rPr>
      <w:t>Información General</w:t>
    </w:r>
  </w:p>
  <w:p w:rsidR="00E11DC2" w:rsidRDefault="00E11DC2" w:rsidP="0047186A">
    <w:pPr>
      <w:spacing w:after="0" w:line="240" w:lineRule="auto"/>
      <w:rPr>
        <w:b/>
        <w:sz w:val="28"/>
        <w:szCs w:val="28"/>
        <w:lang w:val="es-PR"/>
      </w:rPr>
    </w:pPr>
    <w:r w:rsidRPr="00F240F5">
      <w:rPr>
        <w:b/>
        <w:sz w:val="28"/>
        <w:szCs w:val="28"/>
        <w:highlight w:val="yellow"/>
        <w:lang w:val="es-PR"/>
      </w:rPr>
      <w:t>AGENCIA NO INTEGRADA</w:t>
    </w:r>
  </w:p>
  <w:p w:rsidR="00E11DC2" w:rsidRPr="001C2D5F" w:rsidRDefault="00E11DC2"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E2A1568"/>
    <w:multiLevelType w:val="hybridMultilevel"/>
    <w:tmpl w:val="9D881A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24"/>
  </w:num>
  <w:num w:numId="3">
    <w:abstractNumId w:val="25"/>
  </w:num>
  <w:num w:numId="4">
    <w:abstractNumId w:val="29"/>
  </w:num>
  <w:num w:numId="5">
    <w:abstractNumId w:val="16"/>
  </w:num>
  <w:num w:numId="6">
    <w:abstractNumId w:val="12"/>
  </w:num>
  <w:num w:numId="7">
    <w:abstractNumId w:val="19"/>
  </w:num>
  <w:num w:numId="8">
    <w:abstractNumId w:val="10"/>
  </w:num>
  <w:num w:numId="9">
    <w:abstractNumId w:val="22"/>
  </w:num>
  <w:num w:numId="10">
    <w:abstractNumId w:val="9"/>
  </w:num>
  <w:num w:numId="11">
    <w:abstractNumId w:val="1"/>
  </w:num>
  <w:num w:numId="12">
    <w:abstractNumId w:val="28"/>
  </w:num>
  <w:num w:numId="13">
    <w:abstractNumId w:val="4"/>
  </w:num>
  <w:num w:numId="14">
    <w:abstractNumId w:val="23"/>
  </w:num>
  <w:num w:numId="15">
    <w:abstractNumId w:val="6"/>
  </w:num>
  <w:num w:numId="16">
    <w:abstractNumId w:val="18"/>
  </w:num>
  <w:num w:numId="17">
    <w:abstractNumId w:val="5"/>
  </w:num>
  <w:num w:numId="18">
    <w:abstractNumId w:val="21"/>
  </w:num>
  <w:num w:numId="19">
    <w:abstractNumId w:val="13"/>
  </w:num>
  <w:num w:numId="20">
    <w:abstractNumId w:val="20"/>
  </w:num>
  <w:num w:numId="21">
    <w:abstractNumId w:val="11"/>
  </w:num>
  <w:num w:numId="22">
    <w:abstractNumId w:val="2"/>
  </w:num>
  <w:num w:numId="23">
    <w:abstractNumId w:val="26"/>
  </w:num>
  <w:num w:numId="24">
    <w:abstractNumId w:val="27"/>
  </w:num>
  <w:num w:numId="25">
    <w:abstractNumId w:val="8"/>
  </w:num>
  <w:num w:numId="26">
    <w:abstractNumId w:val="0"/>
  </w:num>
  <w:num w:numId="27">
    <w:abstractNumId w:val="17"/>
  </w:num>
  <w:num w:numId="28">
    <w:abstractNumId w:val="1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065B"/>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2831"/>
    <w:rsid w:val="000B69D3"/>
    <w:rsid w:val="000C5283"/>
    <w:rsid w:val="000D60F9"/>
    <w:rsid w:val="000E4017"/>
    <w:rsid w:val="000F40B6"/>
    <w:rsid w:val="000F6502"/>
    <w:rsid w:val="000F7989"/>
    <w:rsid w:val="00101F32"/>
    <w:rsid w:val="0011279C"/>
    <w:rsid w:val="001143FE"/>
    <w:rsid w:val="00122E19"/>
    <w:rsid w:val="00126FC9"/>
    <w:rsid w:val="001307A4"/>
    <w:rsid w:val="00133BAB"/>
    <w:rsid w:val="00134878"/>
    <w:rsid w:val="001356F1"/>
    <w:rsid w:val="00142FD6"/>
    <w:rsid w:val="0014766A"/>
    <w:rsid w:val="00154C47"/>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2D9F"/>
    <w:rsid w:val="00245FEB"/>
    <w:rsid w:val="002501E2"/>
    <w:rsid w:val="00265792"/>
    <w:rsid w:val="0026787D"/>
    <w:rsid w:val="00267DA0"/>
    <w:rsid w:val="002734CB"/>
    <w:rsid w:val="0027646A"/>
    <w:rsid w:val="00277BF0"/>
    <w:rsid w:val="00285FF6"/>
    <w:rsid w:val="002908E3"/>
    <w:rsid w:val="002A7ACF"/>
    <w:rsid w:val="002B4E7A"/>
    <w:rsid w:val="002B5156"/>
    <w:rsid w:val="002B59DC"/>
    <w:rsid w:val="002B7FD8"/>
    <w:rsid w:val="002C1753"/>
    <w:rsid w:val="002D1E0C"/>
    <w:rsid w:val="002D3544"/>
    <w:rsid w:val="002D3658"/>
    <w:rsid w:val="002D392D"/>
    <w:rsid w:val="002F030A"/>
    <w:rsid w:val="002F38A5"/>
    <w:rsid w:val="0030058C"/>
    <w:rsid w:val="003017A1"/>
    <w:rsid w:val="00303BF4"/>
    <w:rsid w:val="00306286"/>
    <w:rsid w:val="00307F9A"/>
    <w:rsid w:val="00314199"/>
    <w:rsid w:val="0033701A"/>
    <w:rsid w:val="00344E42"/>
    <w:rsid w:val="00353DB7"/>
    <w:rsid w:val="003556DB"/>
    <w:rsid w:val="0036166B"/>
    <w:rsid w:val="00362B7B"/>
    <w:rsid w:val="0036675A"/>
    <w:rsid w:val="00370141"/>
    <w:rsid w:val="00393F9D"/>
    <w:rsid w:val="003950A0"/>
    <w:rsid w:val="003A20CF"/>
    <w:rsid w:val="003A7310"/>
    <w:rsid w:val="003B4575"/>
    <w:rsid w:val="003C6015"/>
    <w:rsid w:val="003D3EC6"/>
    <w:rsid w:val="003E0674"/>
    <w:rsid w:val="003E3CF4"/>
    <w:rsid w:val="003F0271"/>
    <w:rsid w:val="003F6F56"/>
    <w:rsid w:val="003F7B76"/>
    <w:rsid w:val="003F7EF4"/>
    <w:rsid w:val="004012B7"/>
    <w:rsid w:val="0040446E"/>
    <w:rsid w:val="00406783"/>
    <w:rsid w:val="00412C48"/>
    <w:rsid w:val="00423F94"/>
    <w:rsid w:val="004241F6"/>
    <w:rsid w:val="0043005F"/>
    <w:rsid w:val="004336EA"/>
    <w:rsid w:val="00434497"/>
    <w:rsid w:val="00445105"/>
    <w:rsid w:val="004529FC"/>
    <w:rsid w:val="004548F1"/>
    <w:rsid w:val="00456683"/>
    <w:rsid w:val="00462C2A"/>
    <w:rsid w:val="004651B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15CC0"/>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50A0"/>
    <w:rsid w:val="006C6588"/>
    <w:rsid w:val="006C6B39"/>
    <w:rsid w:val="006E3049"/>
    <w:rsid w:val="006E374E"/>
    <w:rsid w:val="006F0C66"/>
    <w:rsid w:val="006F359E"/>
    <w:rsid w:val="007011B2"/>
    <w:rsid w:val="00706AE9"/>
    <w:rsid w:val="00722794"/>
    <w:rsid w:val="00726CF4"/>
    <w:rsid w:val="007271F4"/>
    <w:rsid w:val="00735FB7"/>
    <w:rsid w:val="007415A2"/>
    <w:rsid w:val="00741B1A"/>
    <w:rsid w:val="0074728C"/>
    <w:rsid w:val="00781E56"/>
    <w:rsid w:val="00790A6E"/>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15B23"/>
    <w:rsid w:val="00817C0C"/>
    <w:rsid w:val="00824CB0"/>
    <w:rsid w:val="00826EE0"/>
    <w:rsid w:val="00832CC3"/>
    <w:rsid w:val="008364E5"/>
    <w:rsid w:val="00841D9E"/>
    <w:rsid w:val="008542CD"/>
    <w:rsid w:val="00857B0A"/>
    <w:rsid w:val="008766CF"/>
    <w:rsid w:val="00877A45"/>
    <w:rsid w:val="008947B8"/>
    <w:rsid w:val="008A0367"/>
    <w:rsid w:val="008B7F12"/>
    <w:rsid w:val="008C479E"/>
    <w:rsid w:val="00910F3B"/>
    <w:rsid w:val="009161ED"/>
    <w:rsid w:val="00916D37"/>
    <w:rsid w:val="00917173"/>
    <w:rsid w:val="009177F5"/>
    <w:rsid w:val="00920F3A"/>
    <w:rsid w:val="00924F05"/>
    <w:rsid w:val="00933418"/>
    <w:rsid w:val="0093666D"/>
    <w:rsid w:val="00951825"/>
    <w:rsid w:val="00953728"/>
    <w:rsid w:val="00963FB9"/>
    <w:rsid w:val="0097559D"/>
    <w:rsid w:val="00981DE9"/>
    <w:rsid w:val="00983F08"/>
    <w:rsid w:val="0099437A"/>
    <w:rsid w:val="009A1E26"/>
    <w:rsid w:val="009B26E4"/>
    <w:rsid w:val="009B2C9B"/>
    <w:rsid w:val="009C3BD1"/>
    <w:rsid w:val="009D5454"/>
    <w:rsid w:val="009E10B3"/>
    <w:rsid w:val="009E6F83"/>
    <w:rsid w:val="009F0B8A"/>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7769"/>
    <w:rsid w:val="00A7186E"/>
    <w:rsid w:val="00A7361C"/>
    <w:rsid w:val="00A73A7D"/>
    <w:rsid w:val="00A75C2B"/>
    <w:rsid w:val="00A85737"/>
    <w:rsid w:val="00A877BD"/>
    <w:rsid w:val="00A87E54"/>
    <w:rsid w:val="00A902C1"/>
    <w:rsid w:val="00A95EDC"/>
    <w:rsid w:val="00AA77AB"/>
    <w:rsid w:val="00AB0DF3"/>
    <w:rsid w:val="00AB1AE5"/>
    <w:rsid w:val="00AB301F"/>
    <w:rsid w:val="00AB3201"/>
    <w:rsid w:val="00AB6064"/>
    <w:rsid w:val="00AB7A80"/>
    <w:rsid w:val="00AD3D71"/>
    <w:rsid w:val="00AD43CC"/>
    <w:rsid w:val="00AF0F2D"/>
    <w:rsid w:val="00AF2EAF"/>
    <w:rsid w:val="00AF4249"/>
    <w:rsid w:val="00B03DC9"/>
    <w:rsid w:val="00B26E30"/>
    <w:rsid w:val="00B34D73"/>
    <w:rsid w:val="00B45ED1"/>
    <w:rsid w:val="00B51703"/>
    <w:rsid w:val="00B65025"/>
    <w:rsid w:val="00B671BF"/>
    <w:rsid w:val="00B80DEA"/>
    <w:rsid w:val="00B841AB"/>
    <w:rsid w:val="00B91E87"/>
    <w:rsid w:val="00B96917"/>
    <w:rsid w:val="00B97614"/>
    <w:rsid w:val="00BA55B7"/>
    <w:rsid w:val="00BB3D25"/>
    <w:rsid w:val="00BB72F0"/>
    <w:rsid w:val="00BB7B19"/>
    <w:rsid w:val="00BB7D22"/>
    <w:rsid w:val="00BC089D"/>
    <w:rsid w:val="00BC361C"/>
    <w:rsid w:val="00BE20DD"/>
    <w:rsid w:val="00BE5C57"/>
    <w:rsid w:val="00BE5E84"/>
    <w:rsid w:val="00BF69F3"/>
    <w:rsid w:val="00C133B5"/>
    <w:rsid w:val="00C14966"/>
    <w:rsid w:val="00C21DBC"/>
    <w:rsid w:val="00C22E14"/>
    <w:rsid w:val="00C26448"/>
    <w:rsid w:val="00C30F2D"/>
    <w:rsid w:val="00C56D6C"/>
    <w:rsid w:val="00C57A67"/>
    <w:rsid w:val="00C614EA"/>
    <w:rsid w:val="00C62C17"/>
    <w:rsid w:val="00C714B9"/>
    <w:rsid w:val="00C7220A"/>
    <w:rsid w:val="00C77541"/>
    <w:rsid w:val="00C84847"/>
    <w:rsid w:val="00CA1937"/>
    <w:rsid w:val="00CD525F"/>
    <w:rsid w:val="00CD63D6"/>
    <w:rsid w:val="00CD66EA"/>
    <w:rsid w:val="00CF03B8"/>
    <w:rsid w:val="00CF2784"/>
    <w:rsid w:val="00CF6CE6"/>
    <w:rsid w:val="00D06C9C"/>
    <w:rsid w:val="00D17B23"/>
    <w:rsid w:val="00D22047"/>
    <w:rsid w:val="00D2266A"/>
    <w:rsid w:val="00D33863"/>
    <w:rsid w:val="00D34073"/>
    <w:rsid w:val="00D3424E"/>
    <w:rsid w:val="00D42014"/>
    <w:rsid w:val="00D52AD1"/>
    <w:rsid w:val="00D57B36"/>
    <w:rsid w:val="00D7011E"/>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27A7"/>
    <w:rsid w:val="00E05B59"/>
    <w:rsid w:val="00E06C52"/>
    <w:rsid w:val="00E101F1"/>
    <w:rsid w:val="00E11DC2"/>
    <w:rsid w:val="00E14EC8"/>
    <w:rsid w:val="00E169B7"/>
    <w:rsid w:val="00E263A1"/>
    <w:rsid w:val="00E27C39"/>
    <w:rsid w:val="00E27EA1"/>
    <w:rsid w:val="00E366B6"/>
    <w:rsid w:val="00E36B79"/>
    <w:rsid w:val="00E53D05"/>
    <w:rsid w:val="00E62823"/>
    <w:rsid w:val="00E67805"/>
    <w:rsid w:val="00E735B3"/>
    <w:rsid w:val="00E94C68"/>
    <w:rsid w:val="00EB10E1"/>
    <w:rsid w:val="00EB7ACD"/>
    <w:rsid w:val="00EC0600"/>
    <w:rsid w:val="00EE0ADA"/>
    <w:rsid w:val="00EE130A"/>
    <w:rsid w:val="00EE3A06"/>
    <w:rsid w:val="00EE489A"/>
    <w:rsid w:val="00F028E3"/>
    <w:rsid w:val="00F05AE7"/>
    <w:rsid w:val="00F10880"/>
    <w:rsid w:val="00F1249F"/>
    <w:rsid w:val="00F144D0"/>
    <w:rsid w:val="00F240F5"/>
    <w:rsid w:val="00F30622"/>
    <w:rsid w:val="00F3589A"/>
    <w:rsid w:val="00F44F70"/>
    <w:rsid w:val="00F5308E"/>
    <w:rsid w:val="00F62596"/>
    <w:rsid w:val="00F6353B"/>
    <w:rsid w:val="00F71A63"/>
    <w:rsid w:val="00F7510A"/>
    <w:rsid w:val="00F80327"/>
    <w:rsid w:val="00F8075F"/>
    <w:rsid w:val="00F814FC"/>
    <w:rsid w:val="00F83691"/>
    <w:rsid w:val="00F95728"/>
    <w:rsid w:val="00F965E1"/>
    <w:rsid w:val="00FB373F"/>
    <w:rsid w:val="00FB479D"/>
    <w:rsid w:val="00FD084F"/>
    <w:rsid w:val="00FD6A44"/>
    <w:rsid w:val="00FD70EE"/>
    <w:rsid w:val="00FF2A3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910">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ADCCPR-Directorio%20de%20Agencia/ADCCPR-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21</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5FD7A-EF62-40A9-A3F2-9161B71D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F4A41-5DCA-43F5-AFB9-3E9F6A522376}">
  <ds:schemaRefs>
    <ds:schemaRef ds:uri="http://schemas.microsoft.com/sharepoint/v3/contenttype/forms"/>
  </ds:schemaRefs>
</ds:datastoreItem>
</file>

<file path=customXml/itemProps3.xml><?xml version="1.0" encoding="utf-8"?>
<ds:datastoreItem xmlns:ds="http://schemas.openxmlformats.org/officeDocument/2006/customXml" ds:itemID="{CAB2B9B6-A42A-4FC4-8034-F750FD0E7F19}">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D0B7CD71-C436-4F25-98C3-AE015BE5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138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Información de la ADCCPR</vt:lpstr>
    </vt:vector>
  </TitlesOfParts>
  <Company>Hewlett-Packard Company</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la ADCCPR</dc:title>
  <dc:subject>Información General</dc:subject>
  <dc:creator>3-1-1 Tu Línea de Servicios de Gobierno</dc:creator>
  <cp:keywords>ADCCPR</cp:keywords>
  <cp:lastModifiedBy>respondadmin</cp:lastModifiedBy>
  <cp:revision>7</cp:revision>
  <cp:lastPrinted>2012-08-17T15:28:00Z</cp:lastPrinted>
  <dcterms:created xsi:type="dcterms:W3CDTF">2012-08-31T18:14:00Z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