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4431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4431C" w:rsidRDefault="00591CEE" w:rsidP="005C45EA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4431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2334262" wp14:editId="43869367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4431C" w:rsidRDefault="004979AF" w:rsidP="003B6BB7">
            <w:r w:rsidRPr="00A4431C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927A46" w:rsidRPr="00A4431C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531D84" w:rsidRPr="00A4431C" w:rsidRDefault="00AF2EA4" w:rsidP="00844E24">
      <w:pPr>
        <w:pStyle w:val="NoSpacing"/>
        <w:spacing w:before="120" w:after="120"/>
        <w:rPr>
          <w:rFonts w:ascii="Calibri" w:hAnsi="Calibri" w:cs="Calibri"/>
          <w:lang w:val="es-ES_tradnl"/>
        </w:rPr>
      </w:pPr>
      <w:r w:rsidRPr="00A4431C">
        <w:rPr>
          <w:lang w:val="es-ES_tradnl"/>
        </w:rPr>
        <w:t>S</w:t>
      </w:r>
      <w:r w:rsidR="003035DC" w:rsidRPr="00A4431C">
        <w:rPr>
          <w:lang w:val="es-PR"/>
        </w:rPr>
        <w:t>istema</w:t>
      </w:r>
      <w:r w:rsidRPr="00A4431C">
        <w:rPr>
          <w:lang w:val="es-PR"/>
        </w:rPr>
        <w:t xml:space="preserve"> de transportación colectiva que va a correr por el medio de la Autopista José De Diego (PR-22), a través de carriles exclusivos </w:t>
      </w:r>
      <w:r w:rsidRPr="00A4431C">
        <w:rPr>
          <w:lang w:val="es-ES_tradnl"/>
        </w:rPr>
        <w:t>y un carril expreso en la PR-5</w:t>
      </w:r>
      <w:r w:rsidRPr="00A4431C">
        <w:rPr>
          <w:sz w:val="32"/>
          <w:szCs w:val="32"/>
          <w:lang w:val="es-ES_tradnl"/>
        </w:rPr>
        <w:t xml:space="preserve"> </w:t>
      </w:r>
      <w:r w:rsidRPr="00A4431C">
        <w:rPr>
          <w:lang w:val="es-PR"/>
        </w:rPr>
        <w:t>que irán de Toa Baja hasta Bayamón y viceversa</w:t>
      </w:r>
      <w:r w:rsidR="004F187D" w:rsidRPr="00A4431C">
        <w:rPr>
          <w:rFonts w:cstheme="minorHAnsi"/>
          <w:lang w:val="es-ES_tradnl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4431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4431C" w:rsidRDefault="00667D45" w:rsidP="00844E24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BA13F9" wp14:editId="7D9CF87E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4431C" w:rsidRDefault="004979AF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E60B7" w:rsidRPr="00A4431C" w:rsidRDefault="00D51E53" w:rsidP="00844E24">
      <w:pPr>
        <w:pStyle w:val="NoSpacing"/>
        <w:numPr>
          <w:ilvl w:val="0"/>
          <w:numId w:val="39"/>
        </w:numPr>
        <w:spacing w:before="120"/>
        <w:rPr>
          <w:rFonts w:cstheme="minorHAnsi"/>
          <w:lang w:val="es-PR"/>
        </w:rPr>
      </w:pPr>
      <w:r w:rsidRPr="00A4431C">
        <w:rPr>
          <w:rFonts w:cstheme="minorHAnsi"/>
          <w:lang w:val="es-PR"/>
        </w:rPr>
        <w:t>Toda persona que interese utilizar los servicios del transporte masivo o tren.</w:t>
      </w:r>
    </w:p>
    <w:p w:rsidR="00275867" w:rsidRPr="00A4431C" w:rsidRDefault="00496B75" w:rsidP="00844E24">
      <w:pPr>
        <w:pStyle w:val="NoSpacing"/>
        <w:numPr>
          <w:ilvl w:val="0"/>
          <w:numId w:val="39"/>
        </w:numPr>
        <w:spacing w:after="120"/>
        <w:rPr>
          <w:rFonts w:cstheme="minorHAnsi"/>
          <w:lang w:val="es-PR"/>
        </w:rPr>
      </w:pPr>
      <w:r w:rsidRPr="00A4431C">
        <w:rPr>
          <w:rFonts w:cstheme="minorHAnsi"/>
          <w:lang w:val="es-PR"/>
        </w:rPr>
        <w:t>Educa</w:t>
      </w:r>
      <w:r w:rsidR="00F05D0B" w:rsidRPr="00A4431C">
        <w:rPr>
          <w:rFonts w:cstheme="minorHAnsi"/>
          <w:lang w:val="es-PR"/>
        </w:rPr>
        <w:t>r</w:t>
      </w:r>
      <w:r w:rsidR="006407D8" w:rsidRPr="00A4431C">
        <w:rPr>
          <w:rFonts w:cstheme="minorHAnsi"/>
          <w:lang w:val="es-PR"/>
        </w:rPr>
        <w:t>, concienciar</w:t>
      </w:r>
      <w:r w:rsidRPr="00A4431C">
        <w:rPr>
          <w:rFonts w:cstheme="minorHAnsi"/>
          <w:lang w:val="es-PR"/>
        </w:rPr>
        <w:t xml:space="preserve"> y orienta</w:t>
      </w:r>
      <w:r w:rsidR="00F05D0B" w:rsidRPr="00A4431C">
        <w:rPr>
          <w:rFonts w:cstheme="minorHAnsi"/>
          <w:lang w:val="es-PR"/>
        </w:rPr>
        <w:t>r</w:t>
      </w:r>
      <w:r w:rsidR="008979AE" w:rsidRPr="00A4431C">
        <w:rPr>
          <w:rFonts w:cstheme="minorHAnsi"/>
          <w:lang w:val="es-PR"/>
        </w:rPr>
        <w:t xml:space="preserve"> al ciudadano sobre el servicio de transporte masivo y los beneficios d</w:t>
      </w:r>
      <w:r w:rsidR="005D2BB8" w:rsidRPr="00A4431C">
        <w:rPr>
          <w:rFonts w:cstheme="minorHAnsi"/>
          <w:lang w:val="es-PR"/>
        </w:rPr>
        <w:t>e su uso para el medio ambiente y mejorar la calidad de vida de los ciudadanos y visitantes.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4431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4431C" w:rsidRDefault="00AD3D71" w:rsidP="00844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9F5ED18" wp14:editId="3A955F5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4431C" w:rsidRDefault="004A5AAE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F2EA4" w:rsidRPr="00A4431C" w:rsidRDefault="00AF2EA4" w:rsidP="00844E24">
      <w:pPr>
        <w:pStyle w:val="NormalWeb"/>
        <w:numPr>
          <w:ilvl w:val="0"/>
          <w:numId w:val="46"/>
        </w:numPr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431C">
        <w:rPr>
          <w:rFonts w:asciiTheme="minorHAnsi" w:hAnsiTheme="minorHAnsi" w:cstheme="minorHAnsi"/>
          <w:sz w:val="22"/>
          <w:szCs w:val="22"/>
          <w:lang w:val="es-PR"/>
        </w:rPr>
        <w:t xml:space="preserve">El sistema contará con un </w:t>
      </w:r>
      <w:r w:rsidRPr="00A4431C">
        <w:rPr>
          <w:rFonts w:asciiTheme="minorHAnsi" w:hAnsiTheme="minorHAnsi" w:cstheme="minorHAnsi"/>
          <w:bCs/>
          <w:sz w:val="22"/>
          <w:szCs w:val="22"/>
          <w:lang w:val="es-PR"/>
        </w:rPr>
        <w:t>estacionamiento en Toa Baja</w:t>
      </w:r>
      <w:r w:rsidRPr="00A4431C">
        <w:rPr>
          <w:rFonts w:asciiTheme="minorHAnsi" w:hAnsiTheme="minorHAnsi" w:cstheme="minorHAnsi"/>
          <w:sz w:val="22"/>
          <w:szCs w:val="22"/>
          <w:lang w:val="es-PR"/>
        </w:rPr>
        <w:t>  ubicado en la intersección entre la PR-865 y la PR-165, con capacidad para quinientos (</w:t>
      </w:r>
      <w:r w:rsidRPr="00A4431C">
        <w:rPr>
          <w:rFonts w:asciiTheme="minorHAnsi" w:hAnsiTheme="minorHAnsi" w:cstheme="minorHAnsi"/>
          <w:bCs/>
          <w:sz w:val="22"/>
          <w:szCs w:val="22"/>
          <w:lang w:val="es-PR"/>
        </w:rPr>
        <w:t>500) vehículos</w:t>
      </w:r>
      <w:r w:rsidRPr="00A4431C">
        <w:rPr>
          <w:rFonts w:asciiTheme="minorHAnsi" w:hAnsiTheme="minorHAnsi" w:cstheme="minorHAnsi"/>
          <w:sz w:val="22"/>
          <w:szCs w:val="22"/>
          <w:lang w:val="es-PR"/>
        </w:rPr>
        <w:t xml:space="preserve">.  </w:t>
      </w:r>
    </w:p>
    <w:p w:rsidR="006964DF" w:rsidRPr="00A4431C" w:rsidRDefault="00AF2EA4" w:rsidP="00844E24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431C">
        <w:rPr>
          <w:rFonts w:asciiTheme="minorHAnsi" w:hAnsiTheme="minorHAnsi" w:cstheme="minorHAnsi"/>
          <w:sz w:val="22"/>
          <w:szCs w:val="22"/>
          <w:lang w:val="es-PR"/>
        </w:rPr>
        <w:t>Contará con diez (</w:t>
      </w:r>
      <w:r w:rsidRPr="00A4431C">
        <w:rPr>
          <w:rFonts w:asciiTheme="minorHAnsi" w:hAnsiTheme="minorHAnsi" w:cstheme="minorHAnsi"/>
          <w:bCs/>
          <w:sz w:val="22"/>
          <w:szCs w:val="22"/>
          <w:lang w:val="es-PR"/>
        </w:rPr>
        <w:t>10) unidades</w:t>
      </w:r>
      <w:r w:rsidR="006964DF" w:rsidRPr="00A4431C">
        <w:rPr>
          <w:rFonts w:asciiTheme="minorHAnsi" w:hAnsiTheme="minorHAnsi" w:cstheme="minorHAnsi"/>
          <w:bCs/>
          <w:sz w:val="22"/>
          <w:szCs w:val="22"/>
          <w:lang w:val="es-PR"/>
        </w:rPr>
        <w:t xml:space="preserve"> “hybrid diesel”, ocho (8) sencillos y dos (2) articulados (los cuales consumen menos combustible y emanan menos emisiones de gases al ambiente), transitan a una velocidad mínima de cincuenta (50) millas por hora.</w:t>
      </w:r>
      <w:r w:rsidRPr="00A4431C">
        <w:rPr>
          <w:rFonts w:asciiTheme="minorHAnsi" w:hAnsiTheme="minorHAnsi" w:cstheme="minorHAnsi"/>
          <w:bCs/>
          <w:sz w:val="22"/>
          <w:szCs w:val="22"/>
          <w:lang w:val="es-PR"/>
        </w:rPr>
        <w:t xml:space="preserve"> </w:t>
      </w:r>
    </w:p>
    <w:p w:rsidR="006964DF" w:rsidRPr="00A4431C" w:rsidRDefault="006964DF" w:rsidP="00844E24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431C">
        <w:rPr>
          <w:rFonts w:asciiTheme="minorHAnsi" w:hAnsiTheme="minorHAnsi" w:cstheme="minorHAnsi"/>
          <w:bCs/>
          <w:sz w:val="22"/>
          <w:szCs w:val="22"/>
        </w:rPr>
        <w:t>Las dos (2) unidades articuladas cuentan con capacidad para noventa (90) pasajeros cada uno. Las ocho unidades sencillas cuentan con sesenta (60) pasajeros.</w:t>
      </w:r>
      <w:r w:rsidR="00AF2EA4" w:rsidRPr="00A4431C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</w:p>
    <w:p w:rsidR="00AF2EA4" w:rsidRPr="00A4431C" w:rsidRDefault="00AF2EA4" w:rsidP="00844E24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431C">
        <w:rPr>
          <w:rFonts w:asciiTheme="minorHAnsi" w:hAnsiTheme="minorHAnsi" w:cstheme="minorHAnsi"/>
          <w:sz w:val="22"/>
          <w:szCs w:val="22"/>
          <w:lang w:val="es-PR"/>
        </w:rPr>
        <w:t xml:space="preserve">Los itinerarios del Metro Urbano y el Tren Urbano estarán sincronizados para beneficio del pasajero que al llegar a Bayamón aborde el tren.  </w:t>
      </w:r>
    </w:p>
    <w:p w:rsidR="00AF2EA4" w:rsidRPr="00A4431C" w:rsidRDefault="00AF2EA4" w:rsidP="00844E24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431C">
        <w:rPr>
          <w:rFonts w:asciiTheme="minorHAnsi" w:hAnsiTheme="minorHAnsi" w:cstheme="minorHAnsi"/>
          <w:bCs/>
          <w:sz w:val="22"/>
          <w:szCs w:val="22"/>
          <w:lang w:val="es-PR"/>
        </w:rPr>
        <w:t>El tiempo del recorrido</w:t>
      </w:r>
      <w:r w:rsidRPr="00A4431C">
        <w:rPr>
          <w:rFonts w:asciiTheme="minorHAnsi" w:hAnsiTheme="minorHAnsi" w:cstheme="minorHAnsi"/>
          <w:sz w:val="22"/>
          <w:szCs w:val="22"/>
          <w:lang w:val="es-PR"/>
        </w:rPr>
        <w:t xml:space="preserve"> de Toa Baja a Bayamón será de dieciséis (</w:t>
      </w:r>
      <w:r w:rsidRPr="00A4431C">
        <w:rPr>
          <w:rFonts w:asciiTheme="minorHAnsi" w:hAnsiTheme="minorHAnsi" w:cstheme="minorHAnsi"/>
          <w:bCs/>
          <w:sz w:val="22"/>
          <w:szCs w:val="22"/>
          <w:lang w:val="es-PR"/>
        </w:rPr>
        <w:t>16) minutos</w:t>
      </w:r>
      <w:r w:rsidRPr="00A4431C">
        <w:rPr>
          <w:rFonts w:asciiTheme="minorHAnsi" w:hAnsiTheme="minorHAnsi" w:cstheme="minorHAnsi"/>
          <w:sz w:val="22"/>
          <w:szCs w:val="22"/>
          <w:lang w:val="es-PR"/>
        </w:rPr>
        <w:t>. </w:t>
      </w:r>
    </w:p>
    <w:p w:rsidR="00AF2EA4" w:rsidRPr="00A4431C" w:rsidRDefault="00AF2EA4" w:rsidP="00844E24">
      <w:pPr>
        <w:pStyle w:val="NormalWeb"/>
        <w:numPr>
          <w:ilvl w:val="0"/>
          <w:numId w:val="46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4431C">
        <w:rPr>
          <w:rFonts w:asciiTheme="minorHAnsi" w:hAnsiTheme="minorHAnsi" w:cstheme="minorHAnsi"/>
          <w:sz w:val="22"/>
          <w:szCs w:val="22"/>
          <w:lang w:val="es-PR"/>
        </w:rPr>
        <w:t>Todas las unidades de Metro Urbano contaran con servicio de Wi-Fi, racks para bicicletas y fácil acceso para personas con impedimento.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4431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4431C" w:rsidRDefault="00591CEE" w:rsidP="00844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77CAED" wp14:editId="01B0A7AA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4431C" w:rsidRDefault="00CA1937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0446AB" w:rsidRPr="00A4431C" w:rsidRDefault="00F03B4E" w:rsidP="00844E24">
      <w:pPr>
        <w:pStyle w:val="NoSpacing"/>
        <w:spacing w:before="120"/>
        <w:rPr>
          <w:rStyle w:val="Hyperlink"/>
          <w:rFonts w:cstheme="minorHAnsi"/>
          <w:lang w:val="es-PR"/>
        </w:rPr>
      </w:pPr>
      <w:hyperlink r:id="rId16" w:history="1">
        <w:r w:rsidR="000446AB" w:rsidRPr="00A4431C">
          <w:rPr>
            <w:rStyle w:val="Hyperlink"/>
            <w:rFonts w:cstheme="minorHAnsi"/>
            <w:lang w:val="es-PR"/>
          </w:rPr>
          <w:t>Directorio Oficinas ATI</w:t>
        </w:r>
      </w:hyperlink>
    </w:p>
    <w:p w:rsidR="004F187D" w:rsidRPr="00A4431C" w:rsidRDefault="004F187D" w:rsidP="00844E24">
      <w:pPr>
        <w:pStyle w:val="NoSpacing"/>
        <w:spacing w:before="120"/>
        <w:rPr>
          <w:rStyle w:val="Hyperlink"/>
          <w:rFonts w:cstheme="minorHAnsi"/>
          <w:color w:val="auto"/>
          <w:u w:val="none"/>
          <w:lang w:val="es-PR"/>
        </w:rPr>
      </w:pPr>
      <w:r w:rsidRPr="00A4431C">
        <w:rPr>
          <w:rStyle w:val="Hyperlink"/>
          <w:rFonts w:cstheme="minorHAnsi"/>
          <w:b/>
          <w:color w:val="auto"/>
          <w:u w:val="none"/>
          <w:lang w:val="es-PR"/>
        </w:rPr>
        <w:t>Teléfono:</w:t>
      </w:r>
      <w:r w:rsidRPr="00A4431C">
        <w:rPr>
          <w:rStyle w:val="Hyperlink"/>
          <w:rFonts w:cstheme="minorHAnsi"/>
          <w:color w:val="auto"/>
          <w:u w:val="none"/>
          <w:lang w:val="es-PR"/>
        </w:rPr>
        <w:tab/>
        <w:t>787-977-2200 (Metro)</w:t>
      </w:r>
    </w:p>
    <w:p w:rsidR="00AF2EA4" w:rsidRPr="00A4431C" w:rsidRDefault="004F187D" w:rsidP="00844E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after="120"/>
        <w:rPr>
          <w:rStyle w:val="Hyperlink"/>
          <w:rFonts w:cstheme="minorHAnsi"/>
          <w:color w:val="auto"/>
          <w:u w:val="none"/>
          <w:lang w:val="es-PR"/>
        </w:rPr>
      </w:pPr>
      <w:r w:rsidRPr="00A4431C">
        <w:rPr>
          <w:rStyle w:val="Hyperlink"/>
          <w:rFonts w:cstheme="minorHAnsi"/>
          <w:b/>
          <w:color w:val="auto"/>
          <w:u w:val="none"/>
          <w:lang w:val="es-PR"/>
        </w:rPr>
        <w:t>Teléfono:</w:t>
      </w:r>
      <w:r w:rsidRPr="00A4431C">
        <w:rPr>
          <w:rStyle w:val="Hyperlink"/>
          <w:rFonts w:cstheme="minorHAnsi"/>
          <w:color w:val="auto"/>
          <w:u w:val="none"/>
          <w:lang w:val="es-PR"/>
        </w:rPr>
        <w:tab/>
        <w:t>1-800-981-3021</w:t>
      </w:r>
      <w:r w:rsidRPr="00A4431C">
        <w:rPr>
          <w:rStyle w:val="Hyperlink"/>
          <w:rFonts w:cstheme="minorHAnsi"/>
          <w:color w:val="auto"/>
          <w:u w:val="none"/>
          <w:lang w:val="es-PR"/>
        </w:rPr>
        <w:tab/>
      </w:r>
    </w:p>
    <w:p w:rsidR="005B60F2" w:rsidRPr="00A4431C" w:rsidRDefault="005B60F2" w:rsidP="00844E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after="120"/>
        <w:ind w:left="1440" w:hanging="1440"/>
        <w:rPr>
          <w:rStyle w:val="Hyperlink"/>
          <w:rFonts w:cstheme="minorHAnsi"/>
          <w:color w:val="auto"/>
          <w:u w:val="none"/>
          <w:lang w:val="es-PR"/>
        </w:rPr>
      </w:pPr>
      <w:r w:rsidRPr="00A4431C">
        <w:rPr>
          <w:rStyle w:val="Hyperlink"/>
          <w:rFonts w:cstheme="minorHAnsi"/>
          <w:b/>
          <w:color w:val="auto"/>
          <w:u w:val="none"/>
          <w:lang w:val="es-PR"/>
        </w:rPr>
        <w:t>Lugar:</w:t>
      </w:r>
      <w:r w:rsidRPr="00A4431C">
        <w:rPr>
          <w:rStyle w:val="Hyperlink"/>
          <w:rFonts w:cstheme="minorHAnsi"/>
          <w:b/>
          <w:color w:val="auto"/>
          <w:u w:val="none"/>
          <w:lang w:val="es-PR"/>
        </w:rPr>
        <w:tab/>
      </w:r>
      <w:r w:rsidR="00611631" w:rsidRPr="00A4431C">
        <w:rPr>
          <w:rStyle w:val="Hyperlink"/>
          <w:rFonts w:cstheme="minorHAnsi"/>
          <w:color w:val="auto"/>
          <w:u w:val="none"/>
          <w:lang w:val="es-PR"/>
        </w:rPr>
        <w:tab/>
        <w:t>El</w:t>
      </w:r>
      <w:r w:rsidRPr="00A4431C">
        <w:rPr>
          <w:rStyle w:val="Hyperlink"/>
          <w:rFonts w:cstheme="minorHAnsi"/>
          <w:color w:val="auto"/>
          <w:u w:val="none"/>
          <w:lang w:val="es-PR"/>
        </w:rPr>
        <w:t xml:space="preserve"> centro de abordo está ubicado después del peaje de Dorado, la primera salida a la derecha, se puede apreciar la construcción a mano derecha.</w:t>
      </w:r>
    </w:p>
    <w:p w:rsidR="00611631" w:rsidRPr="00A4431C" w:rsidRDefault="00611631" w:rsidP="003035DC">
      <w:pPr>
        <w:spacing w:after="0"/>
        <w:ind w:left="1440"/>
        <w:rPr>
          <w:rFonts w:cstheme="minorHAnsi"/>
          <w:lang w:val="es-PR"/>
        </w:rPr>
      </w:pPr>
      <w:r w:rsidRPr="00A4431C">
        <w:rPr>
          <w:rFonts w:cstheme="minorHAnsi"/>
          <w:lang w:val="es-PR"/>
        </w:rPr>
        <w:t xml:space="preserve">Para llegar al Centro de Trasbordo del Metro Urbano, en Toa Baja, los ciudadanos que viajen en dirección de San Juan hacia Toa Baja utilizarán la Salida </w:t>
      </w:r>
      <w:r w:rsidRPr="00A4431C">
        <w:rPr>
          <w:rFonts w:cstheme="minorHAnsi"/>
          <w:b/>
          <w:bCs/>
          <w:lang w:val="es-PR"/>
        </w:rPr>
        <w:t>20-A</w:t>
      </w:r>
      <w:r w:rsidRPr="00A4431C">
        <w:rPr>
          <w:rFonts w:cstheme="minorHAnsi"/>
          <w:lang w:val="es-PR"/>
        </w:rPr>
        <w:t xml:space="preserve"> de la autopsita José De Diego (PR-22). En el caso de los que se dirijan de Toa Baja hacia Bayamón, accederán la salida </w:t>
      </w:r>
      <w:r w:rsidRPr="00A4431C">
        <w:rPr>
          <w:rFonts w:cstheme="minorHAnsi"/>
          <w:b/>
          <w:bCs/>
          <w:lang w:val="es-PR"/>
        </w:rPr>
        <w:t>20-B</w:t>
      </w:r>
      <w:r w:rsidRPr="00A4431C">
        <w:rPr>
          <w:rFonts w:cstheme="minorHAnsi"/>
          <w:lang w:val="es-PR"/>
        </w:rPr>
        <w:t xml:space="preserve"> del mismo expreso. </w:t>
      </w:r>
      <w:r w:rsidRPr="00A4431C">
        <w:rPr>
          <w:rFonts w:cstheme="minorHAnsi"/>
          <w:lang w:val="es-ES"/>
        </w:rPr>
        <w:t xml:space="preserve">El Centro de Trasbordo está ubicado en la PR-865, en el Sector Campanillas. </w:t>
      </w:r>
    </w:p>
    <w:p w:rsidR="00611631" w:rsidRPr="00A4431C" w:rsidRDefault="00611631" w:rsidP="00844E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after="120"/>
        <w:ind w:left="1440" w:hanging="1440"/>
        <w:rPr>
          <w:rStyle w:val="Hyperlink"/>
          <w:rFonts w:cstheme="minorHAnsi"/>
          <w:color w:val="auto"/>
          <w:u w:val="none"/>
          <w:lang w:val="es-PR"/>
        </w:rPr>
      </w:pPr>
    </w:p>
    <w:p w:rsidR="003035DC" w:rsidRPr="00A4431C" w:rsidRDefault="003035DC" w:rsidP="003035DC">
      <w:pPr>
        <w:pStyle w:val="NoSpacing"/>
        <w:keepNext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after="120"/>
        <w:rPr>
          <w:rStyle w:val="Hyperlink"/>
          <w:rFonts w:cstheme="minorHAnsi"/>
          <w:b/>
          <w:color w:val="auto"/>
          <w:u w:val="none"/>
          <w:lang w:val="es-PR"/>
        </w:rPr>
      </w:pPr>
    </w:p>
    <w:p w:rsidR="00CB0C32" w:rsidRPr="00A4431C" w:rsidRDefault="00C605F0" w:rsidP="003035DC">
      <w:pPr>
        <w:pStyle w:val="NoSpacing"/>
        <w:keepNext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after="120"/>
        <w:rPr>
          <w:rStyle w:val="Hyperlink"/>
          <w:rFonts w:cstheme="minorHAnsi"/>
          <w:b/>
          <w:color w:val="auto"/>
          <w:u w:val="none"/>
          <w:lang w:val="es-PR"/>
        </w:rPr>
      </w:pPr>
      <w:r w:rsidRPr="00A4431C">
        <w:rPr>
          <w:rStyle w:val="Hyperlink"/>
          <w:rFonts w:cstheme="minorHAnsi"/>
          <w:b/>
          <w:color w:val="auto"/>
          <w:u w:val="none"/>
          <w:lang w:val="es-PR"/>
        </w:rPr>
        <w:t>Horario:</w:t>
      </w:r>
      <w:r w:rsidR="00DF3249" w:rsidRPr="00A4431C">
        <w:rPr>
          <w:rStyle w:val="Hyperlink"/>
          <w:rFonts w:cstheme="minorHAnsi"/>
          <w:b/>
          <w:color w:val="auto"/>
          <w:u w:val="none"/>
          <w:lang w:val="es-PR"/>
        </w:rPr>
        <w:t xml:space="preserve"> </w:t>
      </w:r>
      <w:r w:rsidR="00DF3249" w:rsidRPr="00A4431C">
        <w:rPr>
          <w:rStyle w:val="Hyperlink"/>
          <w:rFonts w:cstheme="minorHAnsi"/>
          <w:b/>
          <w:color w:val="auto"/>
          <w:u w:val="none"/>
          <w:lang w:val="es-PR"/>
        </w:rPr>
        <w:tab/>
        <w:t>Lunes a viernes, excepto días feriados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19"/>
        <w:gridCol w:w="2619"/>
      </w:tblGrid>
      <w:tr w:rsidR="000F128B" w:rsidRPr="00A4431C" w:rsidTr="000F128B">
        <w:tc>
          <w:tcPr>
            <w:tcW w:w="2619" w:type="dxa"/>
          </w:tcPr>
          <w:p w:rsidR="000F128B" w:rsidRPr="00A4431C" w:rsidRDefault="000F128B" w:rsidP="00844E2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592"/>
              </w:tabs>
              <w:spacing w:before="120" w:after="120"/>
              <w:rPr>
                <w:rStyle w:val="Hyperlink"/>
                <w:rFonts w:cstheme="minorHAnsi"/>
                <w:b/>
                <w:color w:val="auto"/>
                <w:u w:val="none"/>
                <w:lang w:val="es-PR"/>
              </w:rPr>
            </w:pPr>
            <w:r w:rsidRPr="00A4431C">
              <w:rPr>
                <w:rStyle w:val="Hyperlink"/>
                <w:rFonts w:cstheme="minorHAnsi"/>
                <w:b/>
                <w:color w:val="auto"/>
                <w:u w:val="none"/>
                <w:lang w:val="es-PR"/>
              </w:rPr>
              <w:t>Toa Baja a Bayamón</w:t>
            </w:r>
          </w:p>
        </w:tc>
        <w:tc>
          <w:tcPr>
            <w:tcW w:w="2619" w:type="dxa"/>
          </w:tcPr>
          <w:p w:rsidR="000F128B" w:rsidRPr="00A4431C" w:rsidRDefault="000F128B" w:rsidP="00844E2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592"/>
              </w:tabs>
              <w:spacing w:before="120" w:after="120"/>
              <w:rPr>
                <w:rStyle w:val="Hyperlink"/>
                <w:rFonts w:cstheme="minorHAnsi"/>
                <w:b/>
                <w:color w:val="auto"/>
                <w:u w:val="none"/>
                <w:lang w:val="es-PR"/>
              </w:rPr>
            </w:pPr>
            <w:r w:rsidRPr="00A4431C">
              <w:rPr>
                <w:rStyle w:val="Hyperlink"/>
                <w:rFonts w:cstheme="minorHAnsi"/>
                <w:b/>
                <w:color w:val="auto"/>
                <w:u w:val="none"/>
                <w:lang w:val="es-PR"/>
              </w:rPr>
              <w:t>Bayamón a Toa Baja</w:t>
            </w:r>
          </w:p>
        </w:tc>
      </w:tr>
      <w:tr w:rsidR="000F128B" w:rsidRPr="00A4431C" w:rsidTr="000F128B">
        <w:tc>
          <w:tcPr>
            <w:tcW w:w="2619" w:type="dxa"/>
          </w:tcPr>
          <w:p w:rsidR="0044723F" w:rsidRPr="00A4431C" w:rsidRDefault="00C605F0" w:rsidP="00844E2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592"/>
              </w:tabs>
              <w:spacing w:before="120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>6:15</w:t>
            </w:r>
            <w:r w:rsidR="000F128B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am</w:t>
            </w:r>
            <w:r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- 6:30 am</w:t>
            </w:r>
          </w:p>
          <w:p w:rsidR="000F128B" w:rsidRPr="00A4431C" w:rsidRDefault="0044723F" w:rsidP="00844E2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592"/>
              </w:tabs>
              <w:spacing w:after="120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>6:45 am</w:t>
            </w:r>
            <w:r w:rsidR="00331A56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– 7:00</w:t>
            </w:r>
            <w:r w:rsidR="00C605F0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am</w:t>
            </w:r>
            <w:r w:rsidR="00C605F0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br/>
              <w:t>7:15</w:t>
            </w:r>
            <w:r w:rsidR="000F128B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am</w:t>
            </w:r>
            <w:r w:rsidR="00C605F0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– 7:30 am</w:t>
            </w:r>
          </w:p>
        </w:tc>
        <w:tc>
          <w:tcPr>
            <w:tcW w:w="2619" w:type="dxa"/>
          </w:tcPr>
          <w:p w:rsidR="000F128B" w:rsidRPr="00A4431C" w:rsidRDefault="000F128B" w:rsidP="00844E2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592"/>
              </w:tabs>
              <w:spacing w:before="120" w:after="120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>1:00 pm</w:t>
            </w:r>
            <w:r w:rsidR="00C605F0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– 4:30 pm</w:t>
            </w:r>
            <w:r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br/>
              <w:t>5:00 pm</w:t>
            </w:r>
            <w:r w:rsidR="00C605F0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– 5:30 pm</w:t>
            </w:r>
            <w:r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br/>
              <w:t>6:00 pm</w:t>
            </w:r>
            <w:r w:rsidR="00C605F0" w:rsidRPr="00A4431C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– 6:15 pm</w:t>
            </w:r>
          </w:p>
        </w:tc>
      </w:tr>
    </w:tbl>
    <w:p w:rsidR="00DF3249" w:rsidRDefault="00C605F0" w:rsidP="00DF32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before="120" w:after="120"/>
        <w:ind w:left="1440" w:hanging="1440"/>
        <w:jc w:val="both"/>
        <w:rPr>
          <w:rStyle w:val="Hyperlink"/>
          <w:rFonts w:cstheme="minorHAnsi"/>
          <w:color w:val="auto"/>
          <w:u w:val="none"/>
          <w:lang w:val="es-PR"/>
        </w:rPr>
      </w:pPr>
      <w:r w:rsidRPr="00A4431C">
        <w:rPr>
          <w:rStyle w:val="Hyperlink"/>
          <w:rFonts w:cstheme="minorHAnsi"/>
          <w:b/>
          <w:color w:val="auto"/>
          <w:u w:val="none"/>
          <w:lang w:val="es-PR"/>
        </w:rPr>
        <w:t xml:space="preserve">NOTA: </w:t>
      </w:r>
      <w:r w:rsidRPr="00A4431C">
        <w:rPr>
          <w:rStyle w:val="Hyperlink"/>
          <w:rFonts w:cstheme="minorHAnsi"/>
          <w:color w:val="auto"/>
          <w:u w:val="none"/>
          <w:lang w:val="es-PR"/>
        </w:rPr>
        <w:t xml:space="preserve">Cada quince (15) minutos estará saliendo la guagua de Toa Baja. </w:t>
      </w:r>
    </w:p>
    <w:p w:rsidR="00A4431C" w:rsidRPr="00A4431C" w:rsidRDefault="00A4431C" w:rsidP="00DF32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before="120" w:after="120"/>
        <w:ind w:left="1440" w:hanging="1440"/>
        <w:jc w:val="both"/>
        <w:rPr>
          <w:rFonts w:cstheme="minorHAnsi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687D88" w:rsidRPr="00A4431C" w:rsidTr="0044723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87D88" w:rsidRPr="00A4431C" w:rsidRDefault="00687D88" w:rsidP="00844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11CD5C2" wp14:editId="7A416BBC">
                  <wp:extent cx="274320" cy="274320"/>
                  <wp:effectExtent l="1905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7D88" w:rsidRPr="00A4431C" w:rsidRDefault="00687D88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Costo del Servicio y Métodos de Pago </w:t>
            </w:r>
          </w:p>
        </w:tc>
      </w:tr>
    </w:tbl>
    <w:p w:rsidR="00EC7A9F" w:rsidRPr="00A4431C" w:rsidRDefault="008C46B6" w:rsidP="008C46B6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4431C">
        <w:rPr>
          <w:rFonts w:cstheme="minorHAnsi"/>
          <w:bCs/>
        </w:rPr>
        <w:t>La tarifa regular t</w:t>
      </w:r>
      <w:r w:rsidR="00AF2EA4" w:rsidRPr="00A4431C">
        <w:rPr>
          <w:rFonts w:cstheme="minorHAnsi"/>
          <w:bCs/>
        </w:rPr>
        <w:t xml:space="preserve">endrá un valor de </w:t>
      </w:r>
      <w:r w:rsidR="00AF2EA4" w:rsidRPr="00A4431C">
        <w:rPr>
          <w:rFonts w:cstheme="minorHAnsi"/>
          <w:b/>
          <w:bCs/>
          <w:color w:val="00B050"/>
        </w:rPr>
        <w:t>dos dólares</w:t>
      </w:r>
      <w:r w:rsidR="00AF2EA4" w:rsidRPr="00A4431C">
        <w:rPr>
          <w:rFonts w:cstheme="minorHAnsi"/>
          <w:b/>
          <w:color w:val="00B050"/>
          <w:lang w:val="es-PR"/>
        </w:rPr>
        <w:t xml:space="preserve"> ($2.00)</w:t>
      </w:r>
      <w:r w:rsidRPr="00A4431C">
        <w:rPr>
          <w:rFonts w:cstheme="minorHAnsi"/>
          <w:b/>
          <w:color w:val="00B050"/>
          <w:lang w:val="es-PR"/>
        </w:rPr>
        <w:t xml:space="preserve"> </w:t>
      </w:r>
      <w:r w:rsidRPr="00A4431C">
        <w:rPr>
          <w:rFonts w:cstheme="minorHAnsi"/>
          <w:lang w:val="es-PR"/>
        </w:rPr>
        <w:t>por viaje</w:t>
      </w:r>
      <w:r w:rsidR="00AF2EA4" w:rsidRPr="00A4431C">
        <w:rPr>
          <w:rFonts w:cstheme="minorHAnsi"/>
          <w:lang w:val="es-PR"/>
        </w:rPr>
        <w:t>, desde su estacionamiento en Toa Baja hasta Estación del Tren Urbano Bayamón.</w:t>
      </w:r>
      <w:r w:rsidR="00AF2EA4" w:rsidRPr="00A4431C">
        <w:rPr>
          <w:rFonts w:cstheme="minorHAnsi"/>
          <w:lang w:val="es-ES"/>
        </w:rPr>
        <w:t xml:space="preserve"> Por ese mismo precio, siempre que no exceda un periodo de dos (2) horas, los pasajeros tendrán una transferencia gratis al Tren Urbano y las guaguas de AMA y Metro bus.</w:t>
      </w:r>
    </w:p>
    <w:p w:rsidR="008C46B6" w:rsidRPr="00A4431C" w:rsidRDefault="008C46B6" w:rsidP="008C46B6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4431C">
        <w:rPr>
          <w:rFonts w:cs="Arial"/>
          <w:color w:val="000000"/>
          <w:lang w:val="es-PR"/>
        </w:rPr>
        <w:t>Tarifas Reducidas</w:t>
      </w:r>
    </w:p>
    <w:p w:rsidR="008C46B6" w:rsidRPr="00A4431C" w:rsidRDefault="008C46B6" w:rsidP="008C46B6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4431C">
        <w:rPr>
          <w:rFonts w:cs="Arial"/>
          <w:color w:val="000000"/>
          <w:lang w:val="es-PR"/>
        </w:rPr>
        <w:t xml:space="preserve">El solicitar este servicio no conlleva costo, sin embargo, esto no incluye los costos relacionados a los documentos que se requiere incluir con esta solicitud. </w:t>
      </w:r>
    </w:p>
    <w:p w:rsidR="008C46B6" w:rsidRPr="00A4431C" w:rsidRDefault="008C46B6" w:rsidP="008C46B6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4431C">
        <w:rPr>
          <w:rFonts w:cs="Arial"/>
          <w:color w:val="000000"/>
          <w:lang w:val="es-PR"/>
        </w:rPr>
        <w:t>Costo por viaje:</w:t>
      </w:r>
    </w:p>
    <w:p w:rsidR="008C46B6" w:rsidRPr="00A4431C" w:rsidRDefault="008C46B6" w:rsidP="008C46B6">
      <w:pPr>
        <w:pStyle w:val="ListParagraph"/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tbl>
      <w:tblPr>
        <w:tblStyle w:val="TableGrid"/>
        <w:tblW w:w="7292" w:type="dxa"/>
        <w:tblInd w:w="1440" w:type="dxa"/>
        <w:tblLook w:val="04A0" w:firstRow="1" w:lastRow="0" w:firstColumn="1" w:lastColumn="0" w:noHBand="0" w:noVBand="1"/>
      </w:tblPr>
      <w:tblGrid>
        <w:gridCol w:w="3660"/>
        <w:gridCol w:w="3632"/>
      </w:tblGrid>
      <w:tr w:rsidR="008C46B6" w:rsidRPr="00A4431C" w:rsidTr="008C46B6">
        <w:trPr>
          <w:trHeight w:val="369"/>
        </w:trPr>
        <w:tc>
          <w:tcPr>
            <w:tcW w:w="3660" w:type="dxa"/>
            <w:shd w:val="clear" w:color="auto" w:fill="B8CCE4" w:themeFill="accent1" w:themeFillTint="66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0000"/>
                <w:lang w:val="es-PR"/>
              </w:rPr>
            </w:pPr>
            <w:r w:rsidRPr="00A4431C">
              <w:rPr>
                <w:rFonts w:cs="Arial"/>
                <w:b/>
                <w:color w:val="000000"/>
                <w:lang w:val="es-PR"/>
              </w:rPr>
              <w:t>Población</w:t>
            </w: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0000"/>
                <w:lang w:val="es-PR"/>
              </w:rPr>
            </w:pPr>
            <w:r w:rsidRPr="00A4431C">
              <w:rPr>
                <w:rFonts w:cs="Arial"/>
                <w:b/>
                <w:color w:val="000000"/>
                <w:lang w:val="es-PR"/>
              </w:rPr>
              <w:t>Costo</w:t>
            </w:r>
          </w:p>
        </w:tc>
      </w:tr>
      <w:tr w:rsidR="008C46B6" w:rsidRPr="00A4431C" w:rsidTr="008C46B6">
        <w:trPr>
          <w:trHeight w:val="384"/>
        </w:trPr>
        <w:tc>
          <w:tcPr>
            <w:tcW w:w="3660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color w:val="000000"/>
                <w:lang w:val="es-PR"/>
              </w:rPr>
            </w:pPr>
            <w:r w:rsidRPr="00A4431C">
              <w:rPr>
                <w:rFonts w:cs="Arial"/>
                <w:color w:val="000000"/>
                <w:lang w:val="es-PR"/>
              </w:rPr>
              <w:t>Estudiantes</w:t>
            </w:r>
          </w:p>
        </w:tc>
        <w:tc>
          <w:tcPr>
            <w:tcW w:w="3632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B050"/>
                <w:lang w:val="es-PR"/>
              </w:rPr>
            </w:pPr>
            <w:r w:rsidRPr="00A4431C">
              <w:rPr>
                <w:rFonts w:cs="Arial"/>
                <w:b/>
                <w:color w:val="00B050"/>
                <w:lang w:val="es-PR"/>
              </w:rPr>
              <w:t>Un dólar ($1.00)</w:t>
            </w:r>
          </w:p>
        </w:tc>
      </w:tr>
      <w:tr w:rsidR="008C46B6" w:rsidRPr="00A4431C" w:rsidTr="008C46B6">
        <w:trPr>
          <w:trHeight w:val="384"/>
        </w:trPr>
        <w:tc>
          <w:tcPr>
            <w:tcW w:w="3660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color w:val="000000"/>
                <w:lang w:val="es-PR"/>
              </w:rPr>
            </w:pPr>
            <w:r w:rsidRPr="00A4431C">
              <w:rPr>
                <w:rFonts w:cs="Arial"/>
                <w:color w:val="000000"/>
                <w:lang w:val="es-PR"/>
              </w:rPr>
              <w:t>Personas con Impedimentos</w:t>
            </w:r>
          </w:p>
        </w:tc>
        <w:tc>
          <w:tcPr>
            <w:tcW w:w="3632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B050"/>
                <w:lang w:val="es-PR"/>
              </w:rPr>
            </w:pPr>
            <w:r w:rsidRPr="00A4431C">
              <w:rPr>
                <w:rFonts w:cs="Arial"/>
                <w:b/>
                <w:color w:val="00B050"/>
                <w:lang w:val="es-PR"/>
              </w:rPr>
              <w:t>Un dólar ($1.00)</w:t>
            </w:r>
          </w:p>
        </w:tc>
      </w:tr>
      <w:tr w:rsidR="008C46B6" w:rsidRPr="00A4431C" w:rsidTr="008C46B6">
        <w:trPr>
          <w:trHeight w:val="369"/>
        </w:trPr>
        <w:tc>
          <w:tcPr>
            <w:tcW w:w="3660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color w:val="000000"/>
                <w:lang w:val="es-PR"/>
              </w:rPr>
            </w:pPr>
            <w:r w:rsidRPr="00A4431C">
              <w:rPr>
                <w:rFonts w:cs="Arial"/>
                <w:color w:val="000000"/>
                <w:lang w:val="es-PR"/>
              </w:rPr>
              <w:t>Participantes con Medicare</w:t>
            </w:r>
          </w:p>
        </w:tc>
        <w:tc>
          <w:tcPr>
            <w:tcW w:w="3632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B050"/>
                <w:lang w:val="es-PR"/>
              </w:rPr>
            </w:pPr>
            <w:r w:rsidRPr="00A4431C">
              <w:rPr>
                <w:rFonts w:cs="Arial"/>
                <w:b/>
                <w:color w:val="00B050"/>
                <w:lang w:val="es-PR"/>
              </w:rPr>
              <w:t>Un dólar ($1.00)</w:t>
            </w:r>
          </w:p>
        </w:tc>
      </w:tr>
      <w:tr w:rsidR="008C46B6" w:rsidRPr="00A4431C" w:rsidTr="008C46B6">
        <w:trPr>
          <w:trHeight w:val="384"/>
        </w:trPr>
        <w:tc>
          <w:tcPr>
            <w:tcW w:w="3660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color w:val="000000"/>
                <w:lang w:val="es-PR"/>
              </w:rPr>
            </w:pPr>
            <w:r w:rsidRPr="00A4431C">
              <w:rPr>
                <w:rFonts w:cs="Arial"/>
                <w:color w:val="000000"/>
                <w:lang w:val="es-PR"/>
              </w:rPr>
              <w:t>Sesenta a setenta y cuatro años o más (60 a 74 años o más)</w:t>
            </w:r>
          </w:p>
        </w:tc>
        <w:tc>
          <w:tcPr>
            <w:tcW w:w="3632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B050"/>
                <w:lang w:val="es-PR"/>
              </w:rPr>
            </w:pPr>
            <w:r w:rsidRPr="00A4431C">
              <w:rPr>
                <w:rFonts w:cs="Arial"/>
                <w:b/>
                <w:color w:val="00B050"/>
                <w:lang w:val="es-PR"/>
              </w:rPr>
              <w:t>Un dólar ($1.00)</w:t>
            </w:r>
          </w:p>
        </w:tc>
      </w:tr>
      <w:tr w:rsidR="008C46B6" w:rsidRPr="00A4431C" w:rsidTr="008C46B6">
        <w:trPr>
          <w:trHeight w:val="384"/>
        </w:trPr>
        <w:tc>
          <w:tcPr>
            <w:tcW w:w="3660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color w:val="000000"/>
                <w:lang w:val="es-PR"/>
              </w:rPr>
            </w:pPr>
            <w:r w:rsidRPr="00A4431C">
              <w:rPr>
                <w:rFonts w:cs="Arial"/>
                <w:color w:val="000000"/>
                <w:lang w:val="es-PR"/>
              </w:rPr>
              <w:t>Setenta y cinco años o más (75 años o más</w:t>
            </w:r>
          </w:p>
        </w:tc>
        <w:tc>
          <w:tcPr>
            <w:tcW w:w="3632" w:type="dxa"/>
            <w:vAlign w:val="center"/>
          </w:tcPr>
          <w:p w:rsidR="008C46B6" w:rsidRPr="00A4431C" w:rsidRDefault="008C46B6" w:rsidP="008C46B6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B050"/>
                <w:lang w:val="es-PR"/>
              </w:rPr>
            </w:pPr>
            <w:r w:rsidRPr="00A4431C">
              <w:rPr>
                <w:rFonts w:cs="Arial"/>
                <w:b/>
                <w:color w:val="00B050"/>
                <w:lang w:val="es-PR"/>
              </w:rPr>
              <w:t>Libre de Costo ($0.00)</w:t>
            </w:r>
          </w:p>
        </w:tc>
      </w:tr>
    </w:tbl>
    <w:p w:rsidR="008C46B6" w:rsidRPr="00A4431C" w:rsidRDefault="008C46B6" w:rsidP="008C46B6">
      <w:pPr>
        <w:pStyle w:val="ListParagraph"/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4431C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4431C" w:rsidRDefault="004F4209" w:rsidP="00844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A4431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ACF1098" wp14:editId="34BC767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4431C" w:rsidRDefault="003E0674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4431C" w:rsidRDefault="00D460AC" w:rsidP="00844E24">
      <w:pPr>
        <w:pStyle w:val="NoSpacing"/>
        <w:tabs>
          <w:tab w:val="right" w:pos="9360"/>
        </w:tabs>
        <w:spacing w:before="120" w:after="120"/>
        <w:rPr>
          <w:rFonts w:ascii="Calibri" w:hAnsi="Calibri" w:cs="Calibri"/>
          <w:lang w:val="es-PR"/>
        </w:rPr>
      </w:pPr>
      <w:r w:rsidRPr="00A4431C">
        <w:rPr>
          <w:rFonts w:ascii="Calibri" w:hAnsi="Calibri" w:cs="Calibri"/>
          <w:lang w:val="es-PR"/>
        </w:rPr>
        <w:t>No aplica</w:t>
      </w:r>
      <w:r w:rsidR="001505E1" w:rsidRPr="00A4431C">
        <w:rPr>
          <w:rFonts w:ascii="Calibri" w:hAnsi="Calibri" w:cs="Calibri"/>
          <w:lang w:val="es-PR"/>
        </w:rPr>
        <w:t>.</w:t>
      </w:r>
    </w:p>
    <w:p w:rsidR="00A4431C" w:rsidRDefault="00A4431C">
      <w:p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4431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4431C" w:rsidRDefault="00FD084F" w:rsidP="00844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D1914CF" wp14:editId="06402CC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4431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4431C" w:rsidRDefault="00FD084F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B60F2" w:rsidRDefault="005B60F2" w:rsidP="00844E24">
      <w:pPr>
        <w:pStyle w:val="NoSpacing"/>
        <w:numPr>
          <w:ilvl w:val="0"/>
          <w:numId w:val="48"/>
        </w:numPr>
        <w:spacing w:before="120" w:after="120"/>
        <w:rPr>
          <w:rFonts w:ascii="Calibri" w:hAnsi="Calibri" w:cs="Calibri"/>
          <w:color w:val="000000"/>
          <w:lang w:val="es-PR"/>
        </w:rPr>
      </w:pPr>
      <w:r w:rsidRPr="00A4431C">
        <w:rPr>
          <w:rFonts w:ascii="Calibri" w:hAnsi="Calibri" w:cs="Calibri"/>
          <w:b/>
          <w:color w:val="000000"/>
          <w:lang w:val="es-PR"/>
        </w:rPr>
        <w:t>¿Existe una tarifa especial para personas de edad avanzada o con impedimentos?</w:t>
      </w:r>
      <w:r w:rsidRPr="00A4431C">
        <w:rPr>
          <w:rFonts w:ascii="Calibri" w:hAnsi="Calibri" w:cs="Calibri"/>
          <w:color w:val="000000"/>
          <w:lang w:val="es-PR"/>
        </w:rPr>
        <w:t xml:space="preserve"> –Al momento no se está trabajando una tarifa </w:t>
      </w:r>
      <w:r w:rsidR="006A2568" w:rsidRPr="00A4431C">
        <w:rPr>
          <w:rFonts w:ascii="Calibri" w:hAnsi="Calibri" w:cs="Calibri"/>
          <w:color w:val="000000"/>
          <w:lang w:val="es-PR"/>
        </w:rPr>
        <w:t>especial. Luego de enero de 2013</w:t>
      </w:r>
      <w:r w:rsidRPr="00A4431C">
        <w:rPr>
          <w:rFonts w:ascii="Calibri" w:hAnsi="Calibri" w:cs="Calibri"/>
          <w:color w:val="000000"/>
          <w:lang w:val="es-PR"/>
        </w:rPr>
        <w:t xml:space="preserve"> se estarán anunciando los precios y tarifas especiales si aplica alguna.</w:t>
      </w:r>
    </w:p>
    <w:p w:rsidR="00A4431C" w:rsidRPr="00A4431C" w:rsidRDefault="00A4431C" w:rsidP="00A4431C">
      <w:pPr>
        <w:pStyle w:val="NoSpacing"/>
        <w:spacing w:before="120" w:after="120"/>
        <w:ind w:left="720"/>
        <w:rPr>
          <w:rFonts w:ascii="Calibri" w:hAnsi="Calibri" w:cs="Calibri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4431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4431C" w:rsidRDefault="00FD084F" w:rsidP="00844E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4431C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02B77D" wp14:editId="6E46378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1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4431C" w:rsidRDefault="006C6588" w:rsidP="00844E24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E</w:t>
            </w:r>
            <w:r w:rsidR="00FD084F" w:rsidRPr="00A4431C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46FF1" w:rsidRPr="00A4431C" w:rsidRDefault="00F03B4E" w:rsidP="00844E24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</w:pPr>
      <w:hyperlink r:id="rId21" w:history="1">
        <w:r w:rsidR="00E209FF" w:rsidRPr="00A4431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Página Web de la Agencia DTOP</w:t>
        </w:r>
      </w:hyperlink>
      <w:r w:rsidR="000446AB" w:rsidRPr="00A4431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 xml:space="preserve"> </w:t>
      </w:r>
    </w:p>
    <w:p w:rsidR="00E209FF" w:rsidRPr="00A4431C" w:rsidRDefault="00F03B4E" w:rsidP="00844E24">
      <w:pPr>
        <w:pStyle w:val="NormalWeb"/>
        <w:tabs>
          <w:tab w:val="left" w:pos="1553"/>
          <w:tab w:val="center" w:pos="4680"/>
        </w:tabs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hyperlink r:id="rId22" w:history="1">
        <w:r w:rsidR="00E209FF" w:rsidRPr="00A4431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Página Web de la Agencia TU</w:t>
        </w:r>
      </w:hyperlink>
      <w:r w:rsidR="000446AB" w:rsidRPr="00A4431C">
        <w:rPr>
          <w:rStyle w:val="Hyperlink"/>
          <w:rFonts w:asciiTheme="minorHAnsi" w:hAnsiTheme="minorHAnsi" w:cstheme="minorHAnsi"/>
          <w:sz w:val="22"/>
          <w:szCs w:val="22"/>
          <w:u w:val="none"/>
          <w:lang w:val="es-PR"/>
        </w:rPr>
        <w:t xml:space="preserve"> </w:t>
      </w:r>
    </w:p>
    <w:p w:rsidR="009C6CC2" w:rsidRPr="003822FC" w:rsidRDefault="00F03B4E" w:rsidP="00844E24">
      <w:pPr>
        <w:pStyle w:val="NormalWeb"/>
        <w:tabs>
          <w:tab w:val="left" w:pos="1553"/>
          <w:tab w:val="center" w:pos="4680"/>
        </w:tabs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hyperlink r:id="rId23" w:history="1">
        <w:r w:rsidR="00E209FF" w:rsidRPr="00A4431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Página Web de la Agencia AMA</w:t>
        </w:r>
      </w:hyperlink>
      <w:r w:rsidR="000446AB" w:rsidRPr="00A4431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 xml:space="preserve"> </w:t>
      </w:r>
    </w:p>
    <w:sectPr w:rsidR="009C6CC2" w:rsidRPr="003822FC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E2" w:rsidRDefault="00C927E2" w:rsidP="005501A9">
      <w:pPr>
        <w:spacing w:after="0" w:line="240" w:lineRule="auto"/>
      </w:pPr>
      <w:r>
        <w:separator/>
      </w:r>
    </w:p>
  </w:endnote>
  <w:endnote w:type="continuationSeparator" w:id="0">
    <w:p w:rsidR="00C927E2" w:rsidRDefault="00C927E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4431C" w:rsidTr="00B01C9D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A4431C" w:rsidRDefault="00A4431C" w:rsidP="00A4431C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6D60F843" wp14:editId="3C210625">
                <wp:extent cx="467037" cy="364288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4431C" w:rsidRPr="008C7D57" w:rsidRDefault="00A4431C" w:rsidP="00A4431C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4431C" w:rsidRPr="008C7D57" w:rsidRDefault="00A4431C" w:rsidP="00A4431C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F03B4E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F03B4E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</w:p>
      </w:tc>
    </w:tr>
  </w:tbl>
  <w:p w:rsidR="00C605F0" w:rsidRPr="00A4431C" w:rsidRDefault="00A4431C" w:rsidP="00A4431C">
    <w:pPr>
      <w:jc w:val="center"/>
      <w:rPr>
        <w:lang w:val="es-PR"/>
      </w:rPr>
    </w:pPr>
    <w:r w:rsidRPr="00414449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E2" w:rsidRDefault="00C927E2" w:rsidP="005501A9">
      <w:pPr>
        <w:spacing w:after="0" w:line="240" w:lineRule="auto"/>
      </w:pPr>
      <w:r>
        <w:separator/>
      </w:r>
    </w:p>
  </w:footnote>
  <w:footnote w:type="continuationSeparator" w:id="0">
    <w:p w:rsidR="00C927E2" w:rsidRDefault="00C927E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0" w:rsidRDefault="00C605F0" w:rsidP="008979AE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sz w:val="32"/>
        <w:szCs w:val="32"/>
      </w:rPr>
      <w:t>Alternativa de Transporte Integrado (ATI)</w:t>
    </w:r>
  </w:p>
  <w:p w:rsidR="00C605F0" w:rsidRPr="0075199C" w:rsidRDefault="00C605F0" w:rsidP="008979AE">
    <w:pPr>
      <w:tabs>
        <w:tab w:val="right" w:pos="9360"/>
      </w:tabs>
      <w:spacing w:after="0" w:line="240" w:lineRule="auto"/>
      <w:rPr>
        <w:sz w:val="32"/>
        <w:szCs w:val="32"/>
      </w:rPr>
    </w:pPr>
    <w:r w:rsidRPr="0075199C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A4FAF7" wp14:editId="343CCD04">
              <wp:simplePos x="0" y="0"/>
              <wp:positionH relativeFrom="column">
                <wp:posOffset>4718685</wp:posOffset>
              </wp:positionH>
              <wp:positionV relativeFrom="paragraph">
                <wp:posOffset>92710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5F0" w:rsidRPr="00B81693" w:rsidRDefault="00C605F0" w:rsidP="003822F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ATI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016</w:t>
                          </w:r>
                        </w:p>
                        <w:p w:rsidR="00C605F0" w:rsidRPr="00B81693" w:rsidRDefault="00C605F0" w:rsidP="003822F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oct-23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0A4FA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1.55pt;margin-top:7.3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" filled="f">
              <v:textbox style="mso-fit-shape-to-text:t">
                <w:txbxContent>
                  <w:p w:rsidR="00C605F0" w:rsidRPr="00B81693" w:rsidRDefault="00C605F0" w:rsidP="003822F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ATI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016</w:t>
                    </w:r>
                  </w:p>
                  <w:p w:rsidR="00C605F0" w:rsidRPr="00B81693" w:rsidRDefault="00C605F0" w:rsidP="003822F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oct-23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</w:rPr>
      <w:t>Transporte Urbano (TU)</w:t>
    </w:r>
  </w:p>
  <w:p w:rsidR="00C605F0" w:rsidRPr="00294398" w:rsidRDefault="00C605F0" w:rsidP="00CA41F6">
    <w:pPr>
      <w:spacing w:after="0" w:line="240" w:lineRule="auto"/>
      <w:rPr>
        <w:sz w:val="32"/>
        <w:szCs w:val="32"/>
      </w:rPr>
    </w:pPr>
    <w:bookmarkStart w:id="1" w:name="OLE_LINK3"/>
    <w:bookmarkStart w:id="2" w:name="OLE_LINK4"/>
    <w:r>
      <w:rPr>
        <w:b/>
        <w:sz w:val="32"/>
        <w:szCs w:val="32"/>
      </w:rPr>
      <w:t>Metro Urbano</w:t>
    </w:r>
  </w:p>
  <w:bookmarkEnd w:id="1"/>
  <w:bookmarkEnd w:id="2"/>
  <w:p w:rsidR="00C605F0" w:rsidRPr="00713B19" w:rsidRDefault="00C605F0" w:rsidP="00E1270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62D6"/>
    <w:multiLevelType w:val="hybridMultilevel"/>
    <w:tmpl w:val="D5BA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16043E"/>
    <w:multiLevelType w:val="hybridMultilevel"/>
    <w:tmpl w:val="FD2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E025BEB"/>
    <w:multiLevelType w:val="hybridMultilevel"/>
    <w:tmpl w:val="581A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E3897"/>
    <w:multiLevelType w:val="hybridMultilevel"/>
    <w:tmpl w:val="4DB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020478"/>
    <w:multiLevelType w:val="hybridMultilevel"/>
    <w:tmpl w:val="5ED2128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2F3567E"/>
    <w:multiLevelType w:val="hybridMultilevel"/>
    <w:tmpl w:val="DFC8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0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A3B54"/>
    <w:multiLevelType w:val="hybridMultilevel"/>
    <w:tmpl w:val="91E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8"/>
  </w:num>
  <w:num w:numId="3">
    <w:abstractNumId w:val="39"/>
  </w:num>
  <w:num w:numId="4">
    <w:abstractNumId w:val="48"/>
  </w:num>
  <w:num w:numId="5">
    <w:abstractNumId w:val="22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"/>
  </w:num>
  <w:num w:numId="12">
    <w:abstractNumId w:val="45"/>
  </w:num>
  <w:num w:numId="13">
    <w:abstractNumId w:val="4"/>
  </w:num>
  <w:num w:numId="14">
    <w:abstractNumId w:val="37"/>
  </w:num>
  <w:num w:numId="15">
    <w:abstractNumId w:val="8"/>
  </w:num>
  <w:num w:numId="16">
    <w:abstractNumId w:val="29"/>
  </w:num>
  <w:num w:numId="17">
    <w:abstractNumId w:val="31"/>
  </w:num>
  <w:num w:numId="18">
    <w:abstractNumId w:val="17"/>
  </w:num>
  <w:num w:numId="19">
    <w:abstractNumId w:val="19"/>
  </w:num>
  <w:num w:numId="20">
    <w:abstractNumId w:val="18"/>
  </w:num>
  <w:num w:numId="21">
    <w:abstractNumId w:val="21"/>
  </w:num>
  <w:num w:numId="22">
    <w:abstractNumId w:val="34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23"/>
  </w:num>
  <w:num w:numId="28">
    <w:abstractNumId w:val="43"/>
  </w:num>
  <w:num w:numId="29">
    <w:abstractNumId w:val="3"/>
  </w:num>
  <w:num w:numId="30">
    <w:abstractNumId w:val="6"/>
  </w:num>
  <w:num w:numId="31">
    <w:abstractNumId w:val="0"/>
  </w:num>
  <w:num w:numId="32">
    <w:abstractNumId w:val="12"/>
  </w:num>
  <w:num w:numId="33">
    <w:abstractNumId w:val="41"/>
  </w:num>
  <w:num w:numId="34">
    <w:abstractNumId w:val="7"/>
  </w:num>
  <w:num w:numId="35">
    <w:abstractNumId w:val="40"/>
  </w:num>
  <w:num w:numId="36">
    <w:abstractNumId w:val="46"/>
  </w:num>
  <w:num w:numId="37">
    <w:abstractNumId w:val="33"/>
  </w:num>
  <w:num w:numId="38">
    <w:abstractNumId w:val="42"/>
  </w:num>
  <w:num w:numId="39">
    <w:abstractNumId w:val="16"/>
  </w:num>
  <w:num w:numId="40">
    <w:abstractNumId w:val="1"/>
  </w:num>
  <w:num w:numId="41">
    <w:abstractNumId w:val="24"/>
  </w:num>
  <w:num w:numId="42">
    <w:abstractNumId w:val="47"/>
  </w:num>
  <w:num w:numId="43">
    <w:abstractNumId w:val="14"/>
  </w:num>
  <w:num w:numId="44">
    <w:abstractNumId w:val="27"/>
  </w:num>
  <w:num w:numId="45">
    <w:abstractNumId w:val="25"/>
  </w:num>
  <w:num w:numId="46">
    <w:abstractNumId w:val="35"/>
  </w:num>
  <w:num w:numId="47">
    <w:abstractNumId w:val="28"/>
  </w:num>
  <w:num w:numId="48">
    <w:abstractNumId w:val="3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AC0"/>
    <w:rsid w:val="00002918"/>
    <w:rsid w:val="0000531A"/>
    <w:rsid w:val="00006B59"/>
    <w:rsid w:val="00007B6B"/>
    <w:rsid w:val="00007D45"/>
    <w:rsid w:val="00010250"/>
    <w:rsid w:val="00013745"/>
    <w:rsid w:val="00026909"/>
    <w:rsid w:val="000274E0"/>
    <w:rsid w:val="00030E20"/>
    <w:rsid w:val="00033D7A"/>
    <w:rsid w:val="00034BA2"/>
    <w:rsid w:val="00037EF1"/>
    <w:rsid w:val="000446AB"/>
    <w:rsid w:val="000460E1"/>
    <w:rsid w:val="00055854"/>
    <w:rsid w:val="00056733"/>
    <w:rsid w:val="00057000"/>
    <w:rsid w:val="00057DCB"/>
    <w:rsid w:val="00067078"/>
    <w:rsid w:val="0009318B"/>
    <w:rsid w:val="00096277"/>
    <w:rsid w:val="000964D2"/>
    <w:rsid w:val="000A1207"/>
    <w:rsid w:val="000A4AFA"/>
    <w:rsid w:val="000B69D3"/>
    <w:rsid w:val="000C372B"/>
    <w:rsid w:val="000D5135"/>
    <w:rsid w:val="000F128B"/>
    <w:rsid w:val="0011279C"/>
    <w:rsid w:val="0011336B"/>
    <w:rsid w:val="0011361C"/>
    <w:rsid w:val="00126FC9"/>
    <w:rsid w:val="00133BAB"/>
    <w:rsid w:val="001356F1"/>
    <w:rsid w:val="001360CE"/>
    <w:rsid w:val="0014074D"/>
    <w:rsid w:val="00143632"/>
    <w:rsid w:val="00143BC8"/>
    <w:rsid w:val="001505E1"/>
    <w:rsid w:val="00150C34"/>
    <w:rsid w:val="00162492"/>
    <w:rsid w:val="001626EE"/>
    <w:rsid w:val="0016664C"/>
    <w:rsid w:val="001729C1"/>
    <w:rsid w:val="00174283"/>
    <w:rsid w:val="00181A79"/>
    <w:rsid w:val="00183754"/>
    <w:rsid w:val="00185F44"/>
    <w:rsid w:val="001938E3"/>
    <w:rsid w:val="00194816"/>
    <w:rsid w:val="00195860"/>
    <w:rsid w:val="001978BE"/>
    <w:rsid w:val="001A1F2F"/>
    <w:rsid w:val="001A21E0"/>
    <w:rsid w:val="001B09A0"/>
    <w:rsid w:val="001B132B"/>
    <w:rsid w:val="001B4194"/>
    <w:rsid w:val="001B6C87"/>
    <w:rsid w:val="001C2D5F"/>
    <w:rsid w:val="001C6502"/>
    <w:rsid w:val="001C7A01"/>
    <w:rsid w:val="001D0431"/>
    <w:rsid w:val="001D2E6D"/>
    <w:rsid w:val="001D4C1B"/>
    <w:rsid w:val="001E01FA"/>
    <w:rsid w:val="001E0EC9"/>
    <w:rsid w:val="001E770C"/>
    <w:rsid w:val="001E79D2"/>
    <w:rsid w:val="001F3C73"/>
    <w:rsid w:val="001F4CB4"/>
    <w:rsid w:val="001F4CB9"/>
    <w:rsid w:val="001F61AD"/>
    <w:rsid w:val="002004EC"/>
    <w:rsid w:val="00201A5B"/>
    <w:rsid w:val="0020276F"/>
    <w:rsid w:val="00203A78"/>
    <w:rsid w:val="00204116"/>
    <w:rsid w:val="00205EED"/>
    <w:rsid w:val="00207E32"/>
    <w:rsid w:val="00225983"/>
    <w:rsid w:val="00231ED1"/>
    <w:rsid w:val="00242C6D"/>
    <w:rsid w:val="002439F8"/>
    <w:rsid w:val="00244692"/>
    <w:rsid w:val="00245FEB"/>
    <w:rsid w:val="002501E2"/>
    <w:rsid w:val="00253B12"/>
    <w:rsid w:val="00263117"/>
    <w:rsid w:val="002712AF"/>
    <w:rsid w:val="002734CB"/>
    <w:rsid w:val="0027536F"/>
    <w:rsid w:val="00275867"/>
    <w:rsid w:val="00277BF0"/>
    <w:rsid w:val="00280762"/>
    <w:rsid w:val="002817F7"/>
    <w:rsid w:val="00293E52"/>
    <w:rsid w:val="00294398"/>
    <w:rsid w:val="002A017A"/>
    <w:rsid w:val="002A5328"/>
    <w:rsid w:val="002B5156"/>
    <w:rsid w:val="002C3A9A"/>
    <w:rsid w:val="002D1E0C"/>
    <w:rsid w:val="002D1F67"/>
    <w:rsid w:val="002D3544"/>
    <w:rsid w:val="002E6468"/>
    <w:rsid w:val="002F3E3D"/>
    <w:rsid w:val="003035DC"/>
    <w:rsid w:val="003036CA"/>
    <w:rsid w:val="00306286"/>
    <w:rsid w:val="00307F9A"/>
    <w:rsid w:val="00316AFE"/>
    <w:rsid w:val="0032205F"/>
    <w:rsid w:val="00325509"/>
    <w:rsid w:val="00330D7B"/>
    <w:rsid w:val="00331A56"/>
    <w:rsid w:val="003343E3"/>
    <w:rsid w:val="00335EE6"/>
    <w:rsid w:val="0033773A"/>
    <w:rsid w:val="0034177D"/>
    <w:rsid w:val="0034335C"/>
    <w:rsid w:val="00345FCF"/>
    <w:rsid w:val="00360070"/>
    <w:rsid w:val="00362B7B"/>
    <w:rsid w:val="00370141"/>
    <w:rsid w:val="003822FC"/>
    <w:rsid w:val="003955A8"/>
    <w:rsid w:val="003970A6"/>
    <w:rsid w:val="003A5CF1"/>
    <w:rsid w:val="003A7310"/>
    <w:rsid w:val="003B4575"/>
    <w:rsid w:val="003B6BB7"/>
    <w:rsid w:val="003D4AB0"/>
    <w:rsid w:val="003E0674"/>
    <w:rsid w:val="003E74CE"/>
    <w:rsid w:val="003F7675"/>
    <w:rsid w:val="00401A81"/>
    <w:rsid w:val="004059EB"/>
    <w:rsid w:val="00410658"/>
    <w:rsid w:val="004128FB"/>
    <w:rsid w:val="00412C28"/>
    <w:rsid w:val="00412C48"/>
    <w:rsid w:val="004418A1"/>
    <w:rsid w:val="00445105"/>
    <w:rsid w:val="0044723F"/>
    <w:rsid w:val="0045177E"/>
    <w:rsid w:val="004529FC"/>
    <w:rsid w:val="00456683"/>
    <w:rsid w:val="0045798B"/>
    <w:rsid w:val="0047186A"/>
    <w:rsid w:val="00475E45"/>
    <w:rsid w:val="00476F59"/>
    <w:rsid w:val="004842B9"/>
    <w:rsid w:val="004847E5"/>
    <w:rsid w:val="00496B75"/>
    <w:rsid w:val="004979AF"/>
    <w:rsid w:val="004A5AAE"/>
    <w:rsid w:val="004B14D1"/>
    <w:rsid w:val="004B1E85"/>
    <w:rsid w:val="004B1E89"/>
    <w:rsid w:val="004B51B4"/>
    <w:rsid w:val="004B5201"/>
    <w:rsid w:val="004B6BD6"/>
    <w:rsid w:val="004C49B8"/>
    <w:rsid w:val="004D415A"/>
    <w:rsid w:val="004D67E0"/>
    <w:rsid w:val="004E70A1"/>
    <w:rsid w:val="004F187D"/>
    <w:rsid w:val="004F2C17"/>
    <w:rsid w:val="004F4209"/>
    <w:rsid w:val="004F53D2"/>
    <w:rsid w:val="00506097"/>
    <w:rsid w:val="00510D6D"/>
    <w:rsid w:val="00520E42"/>
    <w:rsid w:val="005213F5"/>
    <w:rsid w:val="00526725"/>
    <w:rsid w:val="00530303"/>
    <w:rsid w:val="00531D84"/>
    <w:rsid w:val="00541195"/>
    <w:rsid w:val="005420A8"/>
    <w:rsid w:val="00542BFF"/>
    <w:rsid w:val="00546E08"/>
    <w:rsid w:val="005501A9"/>
    <w:rsid w:val="005515A2"/>
    <w:rsid w:val="005556A2"/>
    <w:rsid w:val="00555D20"/>
    <w:rsid w:val="00556D9A"/>
    <w:rsid w:val="00560121"/>
    <w:rsid w:val="005642F4"/>
    <w:rsid w:val="00573B2D"/>
    <w:rsid w:val="005832D4"/>
    <w:rsid w:val="00586A18"/>
    <w:rsid w:val="00591CEE"/>
    <w:rsid w:val="00597CC7"/>
    <w:rsid w:val="005A0025"/>
    <w:rsid w:val="005B60F2"/>
    <w:rsid w:val="005C1B0C"/>
    <w:rsid w:val="005C1D13"/>
    <w:rsid w:val="005C33B7"/>
    <w:rsid w:val="005C444A"/>
    <w:rsid w:val="005C45EA"/>
    <w:rsid w:val="005D0491"/>
    <w:rsid w:val="005D2BB8"/>
    <w:rsid w:val="005D3E7C"/>
    <w:rsid w:val="005D72CC"/>
    <w:rsid w:val="005F1108"/>
    <w:rsid w:val="00611631"/>
    <w:rsid w:val="00621B34"/>
    <w:rsid w:val="00626B50"/>
    <w:rsid w:val="00633154"/>
    <w:rsid w:val="00635238"/>
    <w:rsid w:val="006407D8"/>
    <w:rsid w:val="006411A5"/>
    <w:rsid w:val="006420C1"/>
    <w:rsid w:val="00654BF2"/>
    <w:rsid w:val="00655D34"/>
    <w:rsid w:val="00661FA3"/>
    <w:rsid w:val="00663C81"/>
    <w:rsid w:val="0066535D"/>
    <w:rsid w:val="00667D45"/>
    <w:rsid w:val="006720FE"/>
    <w:rsid w:val="00681D7E"/>
    <w:rsid w:val="0068260E"/>
    <w:rsid w:val="00682CF3"/>
    <w:rsid w:val="0068687E"/>
    <w:rsid w:val="00687D88"/>
    <w:rsid w:val="006964DF"/>
    <w:rsid w:val="00696DAD"/>
    <w:rsid w:val="006A2568"/>
    <w:rsid w:val="006A2AF0"/>
    <w:rsid w:val="006B5A60"/>
    <w:rsid w:val="006B7DFA"/>
    <w:rsid w:val="006C6588"/>
    <w:rsid w:val="006D589B"/>
    <w:rsid w:val="006E374E"/>
    <w:rsid w:val="006E60B7"/>
    <w:rsid w:val="006F0187"/>
    <w:rsid w:val="006F1D63"/>
    <w:rsid w:val="006F359E"/>
    <w:rsid w:val="006F762C"/>
    <w:rsid w:val="007039DE"/>
    <w:rsid w:val="00703EA1"/>
    <w:rsid w:val="007059C5"/>
    <w:rsid w:val="00705AD4"/>
    <w:rsid w:val="007117DA"/>
    <w:rsid w:val="00713B19"/>
    <w:rsid w:val="007271F4"/>
    <w:rsid w:val="00727778"/>
    <w:rsid w:val="0074030F"/>
    <w:rsid w:val="007439E6"/>
    <w:rsid w:val="0074728C"/>
    <w:rsid w:val="0075199C"/>
    <w:rsid w:val="00762E53"/>
    <w:rsid w:val="007701E8"/>
    <w:rsid w:val="00771BD6"/>
    <w:rsid w:val="00775CAD"/>
    <w:rsid w:val="00783451"/>
    <w:rsid w:val="007847D2"/>
    <w:rsid w:val="007853B4"/>
    <w:rsid w:val="00790FDB"/>
    <w:rsid w:val="00794DFA"/>
    <w:rsid w:val="007A011F"/>
    <w:rsid w:val="007A06FA"/>
    <w:rsid w:val="007A656D"/>
    <w:rsid w:val="007D07C4"/>
    <w:rsid w:val="007D24F0"/>
    <w:rsid w:val="007E2CD2"/>
    <w:rsid w:val="007F0041"/>
    <w:rsid w:val="007F58DB"/>
    <w:rsid w:val="007F7A59"/>
    <w:rsid w:val="00810D2F"/>
    <w:rsid w:val="0081158C"/>
    <w:rsid w:val="008246CB"/>
    <w:rsid w:val="00824CB0"/>
    <w:rsid w:val="0082658F"/>
    <w:rsid w:val="00837FE0"/>
    <w:rsid w:val="00844E24"/>
    <w:rsid w:val="0084795B"/>
    <w:rsid w:val="00856044"/>
    <w:rsid w:val="008564F1"/>
    <w:rsid w:val="00861BD7"/>
    <w:rsid w:val="008656EB"/>
    <w:rsid w:val="008677EE"/>
    <w:rsid w:val="00867D05"/>
    <w:rsid w:val="00870598"/>
    <w:rsid w:val="00874CED"/>
    <w:rsid w:val="00881E3C"/>
    <w:rsid w:val="0088380C"/>
    <w:rsid w:val="008947B8"/>
    <w:rsid w:val="00896F4C"/>
    <w:rsid w:val="008979AE"/>
    <w:rsid w:val="008A0367"/>
    <w:rsid w:val="008A3AF0"/>
    <w:rsid w:val="008A47CF"/>
    <w:rsid w:val="008A53A4"/>
    <w:rsid w:val="008A5BC4"/>
    <w:rsid w:val="008B34C4"/>
    <w:rsid w:val="008B45A4"/>
    <w:rsid w:val="008B7F12"/>
    <w:rsid w:val="008C0036"/>
    <w:rsid w:val="008C46B6"/>
    <w:rsid w:val="008E199B"/>
    <w:rsid w:val="008E354B"/>
    <w:rsid w:val="008F41C0"/>
    <w:rsid w:val="00904118"/>
    <w:rsid w:val="00906230"/>
    <w:rsid w:val="00920F3A"/>
    <w:rsid w:val="00927A46"/>
    <w:rsid w:val="0093642A"/>
    <w:rsid w:val="009400E8"/>
    <w:rsid w:val="0095048A"/>
    <w:rsid w:val="00953728"/>
    <w:rsid w:val="0095535A"/>
    <w:rsid w:val="00967807"/>
    <w:rsid w:val="00972189"/>
    <w:rsid w:val="00983F08"/>
    <w:rsid w:val="009A1E26"/>
    <w:rsid w:val="009B2C9B"/>
    <w:rsid w:val="009C6CC2"/>
    <w:rsid w:val="009C6D80"/>
    <w:rsid w:val="009D0EE4"/>
    <w:rsid w:val="009D148A"/>
    <w:rsid w:val="009D5DD4"/>
    <w:rsid w:val="009D661E"/>
    <w:rsid w:val="009E10B3"/>
    <w:rsid w:val="009E16A3"/>
    <w:rsid w:val="009E6BD6"/>
    <w:rsid w:val="009E6F83"/>
    <w:rsid w:val="009F1AE8"/>
    <w:rsid w:val="009F31B5"/>
    <w:rsid w:val="009F7C5C"/>
    <w:rsid w:val="00A00750"/>
    <w:rsid w:val="00A05433"/>
    <w:rsid w:val="00A1189D"/>
    <w:rsid w:val="00A21C4C"/>
    <w:rsid w:val="00A32467"/>
    <w:rsid w:val="00A4431C"/>
    <w:rsid w:val="00A51BA6"/>
    <w:rsid w:val="00A64429"/>
    <w:rsid w:val="00A7037E"/>
    <w:rsid w:val="00A83E6A"/>
    <w:rsid w:val="00A84814"/>
    <w:rsid w:val="00A85737"/>
    <w:rsid w:val="00AA7E3C"/>
    <w:rsid w:val="00AB1A70"/>
    <w:rsid w:val="00AB301F"/>
    <w:rsid w:val="00AB35F0"/>
    <w:rsid w:val="00AB7A80"/>
    <w:rsid w:val="00AD3D49"/>
    <w:rsid w:val="00AD3D71"/>
    <w:rsid w:val="00AE47B6"/>
    <w:rsid w:val="00AE611B"/>
    <w:rsid w:val="00AE6AF0"/>
    <w:rsid w:val="00AF0F2D"/>
    <w:rsid w:val="00AF2EA4"/>
    <w:rsid w:val="00AF2EAF"/>
    <w:rsid w:val="00AF6FEA"/>
    <w:rsid w:val="00B17A85"/>
    <w:rsid w:val="00B17C75"/>
    <w:rsid w:val="00B21346"/>
    <w:rsid w:val="00B26E30"/>
    <w:rsid w:val="00B3153B"/>
    <w:rsid w:val="00B34D73"/>
    <w:rsid w:val="00B44638"/>
    <w:rsid w:val="00B47FD8"/>
    <w:rsid w:val="00B51261"/>
    <w:rsid w:val="00B54965"/>
    <w:rsid w:val="00B649CB"/>
    <w:rsid w:val="00B657A2"/>
    <w:rsid w:val="00B671BF"/>
    <w:rsid w:val="00B767C7"/>
    <w:rsid w:val="00B81B8F"/>
    <w:rsid w:val="00B96917"/>
    <w:rsid w:val="00B97614"/>
    <w:rsid w:val="00BC361C"/>
    <w:rsid w:val="00BD33AE"/>
    <w:rsid w:val="00BE710D"/>
    <w:rsid w:val="00C04B25"/>
    <w:rsid w:val="00C133B5"/>
    <w:rsid w:val="00C14966"/>
    <w:rsid w:val="00C21DBC"/>
    <w:rsid w:val="00C21EBA"/>
    <w:rsid w:val="00C2489F"/>
    <w:rsid w:val="00C269C6"/>
    <w:rsid w:val="00C30CC8"/>
    <w:rsid w:val="00C30F2D"/>
    <w:rsid w:val="00C46FF1"/>
    <w:rsid w:val="00C605F0"/>
    <w:rsid w:val="00C614EA"/>
    <w:rsid w:val="00C62C17"/>
    <w:rsid w:val="00C65DBC"/>
    <w:rsid w:val="00C7220A"/>
    <w:rsid w:val="00C77541"/>
    <w:rsid w:val="00C84847"/>
    <w:rsid w:val="00C84CA5"/>
    <w:rsid w:val="00C90375"/>
    <w:rsid w:val="00C927E2"/>
    <w:rsid w:val="00C955BE"/>
    <w:rsid w:val="00CA1937"/>
    <w:rsid w:val="00CA41F6"/>
    <w:rsid w:val="00CA7A25"/>
    <w:rsid w:val="00CB0C32"/>
    <w:rsid w:val="00CB43D3"/>
    <w:rsid w:val="00CB49A2"/>
    <w:rsid w:val="00CB789F"/>
    <w:rsid w:val="00CC0FD7"/>
    <w:rsid w:val="00CC6C50"/>
    <w:rsid w:val="00CD52EE"/>
    <w:rsid w:val="00CD63D6"/>
    <w:rsid w:val="00CE5729"/>
    <w:rsid w:val="00CF0A75"/>
    <w:rsid w:val="00CF487B"/>
    <w:rsid w:val="00D04959"/>
    <w:rsid w:val="00D05188"/>
    <w:rsid w:val="00D22047"/>
    <w:rsid w:val="00D252D4"/>
    <w:rsid w:val="00D30847"/>
    <w:rsid w:val="00D324EE"/>
    <w:rsid w:val="00D352B9"/>
    <w:rsid w:val="00D42D23"/>
    <w:rsid w:val="00D460AC"/>
    <w:rsid w:val="00D51E53"/>
    <w:rsid w:val="00D56625"/>
    <w:rsid w:val="00D675FA"/>
    <w:rsid w:val="00D7509C"/>
    <w:rsid w:val="00D75257"/>
    <w:rsid w:val="00D76041"/>
    <w:rsid w:val="00D84164"/>
    <w:rsid w:val="00D97047"/>
    <w:rsid w:val="00DA1DEB"/>
    <w:rsid w:val="00DA5FE2"/>
    <w:rsid w:val="00DB009A"/>
    <w:rsid w:val="00DB20A5"/>
    <w:rsid w:val="00DB63E7"/>
    <w:rsid w:val="00DB6A8C"/>
    <w:rsid w:val="00DB7320"/>
    <w:rsid w:val="00DC2360"/>
    <w:rsid w:val="00DC53BA"/>
    <w:rsid w:val="00DC5B33"/>
    <w:rsid w:val="00DC7A7E"/>
    <w:rsid w:val="00DD10AE"/>
    <w:rsid w:val="00DD2A92"/>
    <w:rsid w:val="00DD55E4"/>
    <w:rsid w:val="00DE0BCD"/>
    <w:rsid w:val="00DE2D83"/>
    <w:rsid w:val="00DE2DB1"/>
    <w:rsid w:val="00DE398B"/>
    <w:rsid w:val="00DE45FB"/>
    <w:rsid w:val="00DE47B2"/>
    <w:rsid w:val="00DF3249"/>
    <w:rsid w:val="00E05B59"/>
    <w:rsid w:val="00E07E01"/>
    <w:rsid w:val="00E101F1"/>
    <w:rsid w:val="00E1083B"/>
    <w:rsid w:val="00E10A8D"/>
    <w:rsid w:val="00E1270C"/>
    <w:rsid w:val="00E209FF"/>
    <w:rsid w:val="00E21473"/>
    <w:rsid w:val="00E23EAF"/>
    <w:rsid w:val="00E27EA1"/>
    <w:rsid w:val="00E52481"/>
    <w:rsid w:val="00E548BC"/>
    <w:rsid w:val="00E56B64"/>
    <w:rsid w:val="00E76FCE"/>
    <w:rsid w:val="00E77572"/>
    <w:rsid w:val="00E81EED"/>
    <w:rsid w:val="00EA3459"/>
    <w:rsid w:val="00EC2FC0"/>
    <w:rsid w:val="00EC7A9F"/>
    <w:rsid w:val="00EE0ADA"/>
    <w:rsid w:val="00EE3A06"/>
    <w:rsid w:val="00EE6F80"/>
    <w:rsid w:val="00EF415B"/>
    <w:rsid w:val="00F01699"/>
    <w:rsid w:val="00F028E3"/>
    <w:rsid w:val="00F03B4E"/>
    <w:rsid w:val="00F05D0B"/>
    <w:rsid w:val="00F066AD"/>
    <w:rsid w:val="00F10880"/>
    <w:rsid w:val="00F12E68"/>
    <w:rsid w:val="00F14512"/>
    <w:rsid w:val="00F21675"/>
    <w:rsid w:val="00F22F06"/>
    <w:rsid w:val="00F3589A"/>
    <w:rsid w:val="00F412E4"/>
    <w:rsid w:val="00F43140"/>
    <w:rsid w:val="00F44F70"/>
    <w:rsid w:val="00F5308E"/>
    <w:rsid w:val="00F60877"/>
    <w:rsid w:val="00F73FAA"/>
    <w:rsid w:val="00F8075F"/>
    <w:rsid w:val="00F83675"/>
    <w:rsid w:val="00F83691"/>
    <w:rsid w:val="00F842E3"/>
    <w:rsid w:val="00F84AF2"/>
    <w:rsid w:val="00F8763B"/>
    <w:rsid w:val="00F9134E"/>
    <w:rsid w:val="00FA19F8"/>
    <w:rsid w:val="00FA27DC"/>
    <w:rsid w:val="00FA45BF"/>
    <w:rsid w:val="00FA5612"/>
    <w:rsid w:val="00FA7432"/>
    <w:rsid w:val="00FB373F"/>
    <w:rsid w:val="00FB4DF6"/>
    <w:rsid w:val="00FD084F"/>
    <w:rsid w:val="00FD711B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corchete-llamada1">
    <w:name w:val="corchete-llamada1"/>
    <w:basedOn w:val="DefaultParagraphFont"/>
    <w:rsid w:val="008979AE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corchete-llamada1">
    <w:name w:val="corchete-llamada1"/>
    <w:basedOn w:val="DefaultParagraphFont"/>
    <w:rsid w:val="008979A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transporte_urbano/index.as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transporte_urbano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24C3-9A6C-435C-9536-470794FBCC7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AE9ED6D6-E7B1-4502-B7C9-F7BEB2C73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8334E-9D98-45FA-9841-32C2B7181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7AE82-8C61-4763-8571-9F6EE0C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Urbano</vt:lpstr>
    </vt:vector>
  </TitlesOfParts>
  <Company>Hewlett-Packard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Urbano</dc:title>
  <dc:subject>Información General</dc:subject>
  <dc:creator>3-1-1 Tú Línea de Servicios de Gobierno</dc:creator>
  <cp:keywords>ATI</cp:keywords>
  <cp:lastModifiedBy>respondadmin</cp:lastModifiedBy>
  <cp:revision>5</cp:revision>
  <cp:lastPrinted>2014-10-27T14:30:00Z</cp:lastPrinted>
  <dcterms:created xsi:type="dcterms:W3CDTF">2014-10-23T19:31:00Z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