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D504AC" w:rsidRPr="001057DD" w:rsidTr="00D504A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04AC" w:rsidRPr="001057DD" w:rsidRDefault="004A6454" w:rsidP="00D472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605" cy="274320"/>
                  <wp:effectExtent l="0" t="0" r="0" b="0"/>
                  <wp:docPr id="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D504AC" w:rsidRPr="001057DD" w:rsidRDefault="00D504AC" w:rsidP="00D4724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1057DD">
              <w:rPr>
                <w:rFonts w:cs="Calibr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/>
            <w:vAlign w:val="center"/>
          </w:tcPr>
          <w:p w:rsidR="00D504AC" w:rsidRPr="001057DD" w:rsidRDefault="00D504AC" w:rsidP="00D4724A">
            <w:pPr>
              <w:spacing w:after="0" w:line="240" w:lineRule="auto"/>
              <w:rPr>
                <w:rFonts w:cs="Calibri"/>
                <w:b/>
                <w:color w:val="943634"/>
                <w:sz w:val="28"/>
                <w:szCs w:val="28"/>
              </w:rPr>
            </w:pPr>
          </w:p>
        </w:tc>
      </w:tr>
    </w:tbl>
    <w:p w:rsidR="006E5D2A" w:rsidRPr="009A0AC3" w:rsidRDefault="004A7B69" w:rsidP="00D4724A">
      <w:pPr>
        <w:numPr>
          <w:ilvl w:val="0"/>
          <w:numId w:val="7"/>
        </w:numPr>
        <w:spacing w:before="120" w:after="120" w:line="240" w:lineRule="auto"/>
        <w:rPr>
          <w:rFonts w:cs="Calibri"/>
          <w:color w:val="000000"/>
          <w:lang w:val="es-PR"/>
        </w:rPr>
      </w:pPr>
      <w:r w:rsidRPr="009A0AC3">
        <w:rPr>
          <w:rFonts w:cs="Calibri"/>
          <w:lang w:val="es-PR"/>
        </w:rPr>
        <w:t>Proveer</w:t>
      </w:r>
      <w:r w:rsidR="00185464" w:rsidRPr="009A0AC3">
        <w:rPr>
          <w:rFonts w:cs="Calibri"/>
          <w:lang w:val="es-PR"/>
        </w:rPr>
        <w:t xml:space="preserve"> orientación </w:t>
      </w:r>
      <w:r w:rsidR="00600058" w:rsidRPr="009A0AC3">
        <w:rPr>
          <w:rFonts w:cs="Calibri"/>
          <w:lang w:val="es-PR"/>
        </w:rPr>
        <w:t>sobre</w:t>
      </w:r>
      <w:r w:rsidR="00EE0B81" w:rsidRPr="009A0AC3">
        <w:rPr>
          <w:rFonts w:cs="Calibri"/>
          <w:lang w:val="es-PR"/>
        </w:rPr>
        <w:t xml:space="preserve"> los </w:t>
      </w:r>
      <w:r w:rsidR="00FA6919" w:rsidRPr="009A0AC3">
        <w:rPr>
          <w:rFonts w:cs="Calibri"/>
          <w:lang w:val="es-PR"/>
        </w:rPr>
        <w:t xml:space="preserve">requisitos y </w:t>
      </w:r>
      <w:r w:rsidR="00EE0B81" w:rsidRPr="009A0AC3">
        <w:rPr>
          <w:rFonts w:cs="Calibri"/>
          <w:lang w:val="es-PR"/>
        </w:rPr>
        <w:t xml:space="preserve">servicios que se proveen a través del </w:t>
      </w:r>
      <w:r w:rsidR="00651475" w:rsidRPr="009A0AC3">
        <w:rPr>
          <w:rFonts w:cs="Calibri"/>
          <w:lang w:val="es-PR"/>
        </w:rPr>
        <w:t xml:space="preserve">Programa de </w:t>
      </w:r>
      <w:r w:rsidR="00FA6919" w:rsidRPr="009A0AC3">
        <w:rPr>
          <w:rFonts w:cs="Calibri"/>
          <w:lang w:val="es-PR"/>
        </w:rPr>
        <w:t>Distribución</w:t>
      </w:r>
      <w:r w:rsidR="0074347C" w:rsidRPr="009A0AC3">
        <w:rPr>
          <w:rFonts w:cs="Calibri"/>
          <w:lang w:val="es-PR"/>
        </w:rPr>
        <w:t xml:space="preserve"> de Alimentos de Asistencia al Deambulante</w:t>
      </w:r>
      <w:r w:rsidR="00FA6919" w:rsidRPr="009A0AC3">
        <w:rPr>
          <w:rFonts w:cs="Calibri"/>
          <w:lang w:val="es-PR"/>
        </w:rPr>
        <w:t xml:space="preserve"> (Soup Kitchen)</w:t>
      </w:r>
      <w:r w:rsidR="00B325F1" w:rsidRPr="009A0AC3">
        <w:rPr>
          <w:rFonts w:cs="Calibri"/>
          <w:lang w:val="es-PR"/>
        </w:rPr>
        <w:t>.</w:t>
      </w:r>
    </w:p>
    <w:p w:rsidR="00FA6919" w:rsidRPr="009A0AC3" w:rsidRDefault="006B545E" w:rsidP="00D4724A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val="es-PR"/>
        </w:rPr>
      </w:pPr>
      <w:r w:rsidRPr="009A0AC3">
        <w:rPr>
          <w:rFonts w:cs="Calibri"/>
          <w:szCs w:val="24"/>
          <w:lang w:val="es-PR"/>
        </w:rPr>
        <w:t>La función de este programa es repartir alimentos a instituciones sin fin</w:t>
      </w:r>
      <w:r w:rsidR="00D4724A" w:rsidRPr="009A0AC3">
        <w:rPr>
          <w:rFonts w:cs="Calibri"/>
          <w:szCs w:val="24"/>
          <w:lang w:val="es-PR"/>
        </w:rPr>
        <w:t xml:space="preserve">es de lucro, que sirven comidas </w:t>
      </w:r>
      <w:r w:rsidRPr="009A0AC3">
        <w:rPr>
          <w:rFonts w:cs="Calibri"/>
          <w:szCs w:val="24"/>
          <w:lang w:val="es-PR"/>
        </w:rPr>
        <w:t xml:space="preserve">preparadas a deambulantes, niños, niñas, mujeres maltratadas, personas con problemas de adicción y personas </w:t>
      </w:r>
      <w:r w:rsidR="00D4724A" w:rsidRPr="009A0AC3">
        <w:rPr>
          <w:rFonts w:cs="Calibri"/>
          <w:szCs w:val="24"/>
          <w:lang w:val="es-PR"/>
        </w:rPr>
        <w:t xml:space="preserve">con </w:t>
      </w:r>
      <w:r w:rsidRPr="009A0AC3">
        <w:rPr>
          <w:rFonts w:cs="Calibri"/>
          <w:szCs w:val="24"/>
          <w:lang w:val="es-PR"/>
        </w:rPr>
        <w:t>VIH/SIDA, albergadas temporeramente en estas instituciones.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9A0AC3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9A0AC3" w:rsidRDefault="004A6454" w:rsidP="00D472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9A0AC3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7D87A9E0" wp14:editId="588CF06F">
                  <wp:extent cx="271780" cy="274320"/>
                  <wp:effectExtent l="0" t="0" r="0" b="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9A0AC3" w:rsidRDefault="004979AF" w:rsidP="00D4724A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9A0AC3">
              <w:rPr>
                <w:rFonts w:cs="Calibr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178BE" w:rsidRPr="009A0AC3" w:rsidRDefault="00C57B92" w:rsidP="00DD3C11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  <w:lang w:val="es-PR" w:eastAsia="es-PR"/>
        </w:rPr>
      </w:pPr>
      <w:r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 xml:space="preserve">Proveer información sobre el programa a </w:t>
      </w:r>
      <w:r w:rsidR="006B545E"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>i</w:t>
      </w:r>
      <w:r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 xml:space="preserve">nstituciones que proveen alimento </w:t>
      </w:r>
      <w:r w:rsidR="00057163"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 xml:space="preserve">como parte integral de sus actividades rutinarias </w:t>
      </w:r>
      <w:r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>a deambulantes</w:t>
      </w:r>
      <w:r w:rsidR="006B545E"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 xml:space="preserve"> y </w:t>
      </w:r>
      <w:r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 xml:space="preserve">albergan por un periodo de tiempo a mujeres y niños </w:t>
      </w:r>
      <w:r w:rsidR="008478B5"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>maltratados</w:t>
      </w:r>
      <w:r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 xml:space="preserve">, </w:t>
      </w:r>
      <w:r w:rsidR="00D4724A"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>personas ancianas</w:t>
      </w:r>
      <w:r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>, adic</w:t>
      </w:r>
      <w:r w:rsidR="00E10BC3">
        <w:rPr>
          <w:rFonts w:ascii="Calibri" w:hAnsi="Calibri" w:cs="Calibri"/>
          <w:color w:val="000000"/>
          <w:sz w:val="22"/>
          <w:szCs w:val="22"/>
          <w:lang w:val="es-PR" w:eastAsia="es-PR"/>
        </w:rPr>
        <w:t>tos sin hogar o personas con VIH</w:t>
      </w:r>
      <w:r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>/SIDA</w:t>
      </w:r>
      <w:r w:rsidR="00057163" w:rsidRPr="009A0AC3">
        <w:rPr>
          <w:rFonts w:ascii="Calibri" w:hAnsi="Calibri" w:cs="Calibri"/>
          <w:color w:val="000000"/>
          <w:sz w:val="22"/>
          <w:szCs w:val="22"/>
          <w:lang w:val="es-PR" w:eastAsia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70E6" w:rsidRPr="009A0AC3" w:rsidTr="00430E3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170E6" w:rsidRPr="009A0AC3" w:rsidRDefault="004A6454" w:rsidP="00D472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9A0AC3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31F0A81E" wp14:editId="786E5FE9">
                  <wp:extent cx="278130" cy="274320"/>
                  <wp:effectExtent l="0" t="0" r="7620" b="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170E6" w:rsidRPr="009A0AC3" w:rsidRDefault="001170E6" w:rsidP="00D4724A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9A0AC3">
              <w:rPr>
                <w:rFonts w:cs="Calibri"/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1170E6" w:rsidRPr="009A0AC3" w:rsidRDefault="00C57B92" w:rsidP="00DD3C11">
      <w:p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9A0AC3">
        <w:rPr>
          <w:rFonts w:cs="Calibri"/>
          <w:lang w:val="es-PR"/>
        </w:rPr>
        <w:t>Las instituciones interesadas en participar en el</w:t>
      </w:r>
      <w:r w:rsidR="004A7B69" w:rsidRPr="009A0AC3">
        <w:rPr>
          <w:rFonts w:cs="Calibri"/>
          <w:lang w:val="es-PR"/>
        </w:rPr>
        <w:t xml:space="preserve"> </w:t>
      </w:r>
      <w:r w:rsidRPr="009A0AC3">
        <w:rPr>
          <w:rFonts w:cs="Calibri"/>
          <w:lang w:val="es-PR"/>
        </w:rPr>
        <w:t>Programa de Distribución de Alimentos de</w:t>
      </w:r>
      <w:r w:rsidR="004A7B69" w:rsidRPr="009A0AC3">
        <w:rPr>
          <w:rFonts w:cs="Calibri"/>
          <w:lang w:val="es-PR"/>
        </w:rPr>
        <w:t xml:space="preserve"> </w:t>
      </w:r>
      <w:r w:rsidRPr="009A0AC3">
        <w:rPr>
          <w:rFonts w:cs="Calibri"/>
          <w:lang w:val="es-PR"/>
        </w:rPr>
        <w:t>Asistenc</w:t>
      </w:r>
      <w:r w:rsidR="004A7B69" w:rsidRPr="009A0AC3">
        <w:rPr>
          <w:rFonts w:cs="Calibri"/>
          <w:lang w:val="es-PR"/>
        </w:rPr>
        <w:t>ia al Deambulante pueden radica</w:t>
      </w:r>
      <w:r w:rsidRPr="009A0AC3">
        <w:rPr>
          <w:rFonts w:cs="Calibri"/>
          <w:lang w:val="es-PR"/>
        </w:rPr>
        <w:t>r su</w:t>
      </w:r>
      <w:r w:rsidR="004A7B69" w:rsidRPr="009A0AC3">
        <w:rPr>
          <w:rFonts w:cs="Calibri"/>
          <w:lang w:val="es-PR"/>
        </w:rPr>
        <w:t xml:space="preserve"> </w:t>
      </w:r>
      <w:r w:rsidRPr="009A0AC3">
        <w:rPr>
          <w:rFonts w:cs="Calibri"/>
          <w:lang w:val="es-PR"/>
        </w:rPr>
        <w:t xml:space="preserve">solicitud en la Oficina Central de </w:t>
      </w:r>
      <w:r w:rsidR="00E910CF" w:rsidRPr="009A0AC3">
        <w:rPr>
          <w:rFonts w:cs="Calibri"/>
          <w:lang w:val="es-PR"/>
        </w:rPr>
        <w:t>Administración de Desarrollo Socioeconómico de la Familia (ADSEF)</w:t>
      </w:r>
      <w:r w:rsidR="004A7B69" w:rsidRPr="009A0AC3">
        <w:rPr>
          <w:rFonts w:cs="Calibri"/>
          <w:lang w:val="es-PR"/>
        </w:rPr>
        <w:t xml:space="preserve">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A0AC3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9A0AC3" w:rsidRDefault="004A6454" w:rsidP="00D472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9A0AC3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3D6265C1" wp14:editId="02E67D8D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9A0AC3" w:rsidRDefault="00CA1937" w:rsidP="00D4724A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9A0AC3">
              <w:rPr>
                <w:rFonts w:cs="Calibr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9A0AC3" w:rsidRPr="009A0AC3" w:rsidRDefault="00E46FCA" w:rsidP="009A0AC3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jc w:val="both"/>
        <w:rPr>
          <w:rFonts w:cs="Calibri"/>
          <w:lang w:val="es-PR"/>
        </w:rPr>
      </w:pPr>
      <w:hyperlink r:id="rId16" w:history="1">
        <w:r w:rsidR="00015C3E" w:rsidRPr="00015C3E">
          <w:rPr>
            <w:rStyle w:val="Hyperlink"/>
            <w:rFonts w:cs="Calibri"/>
            <w:lang w:val="es-PR"/>
          </w:rPr>
          <w:t>Directorio Oficinas ADSEF</w:t>
        </w:r>
      </w:hyperlink>
    </w:p>
    <w:p w:rsidR="00296CCD" w:rsidRPr="009A0AC3" w:rsidRDefault="00296CCD" w:rsidP="00015C3E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lang w:val="es-PR"/>
        </w:rPr>
      </w:pPr>
      <w:r w:rsidRPr="009A0AC3">
        <w:rPr>
          <w:rFonts w:cs="Calibri"/>
          <w:b/>
          <w:lang w:val="es-PR"/>
        </w:rPr>
        <w:t>Lugar:</w:t>
      </w:r>
      <w:r w:rsidRPr="009A0AC3">
        <w:rPr>
          <w:rFonts w:cs="Calibri"/>
          <w:b/>
          <w:lang w:val="es-PR"/>
        </w:rPr>
        <w:tab/>
      </w:r>
      <w:r w:rsidRPr="009A0AC3">
        <w:rPr>
          <w:rFonts w:cs="Calibri"/>
          <w:b/>
          <w:lang w:val="es-PR"/>
        </w:rPr>
        <w:tab/>
      </w:r>
      <w:r w:rsidRPr="009A0AC3">
        <w:rPr>
          <w:rFonts w:cs="Calibri"/>
          <w:lang w:val="es-PR"/>
        </w:rPr>
        <w:t>Programa de Distribución de Alimentos de Asistencia al Deambulante</w:t>
      </w:r>
    </w:p>
    <w:p w:rsidR="00296CCD" w:rsidRPr="009A0AC3" w:rsidRDefault="00296CCD" w:rsidP="00015C3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9A0AC3">
        <w:rPr>
          <w:rFonts w:cs="Calibri"/>
          <w:b/>
          <w:lang w:val="es-PR"/>
        </w:rPr>
        <w:t xml:space="preserve">Teléfono: </w:t>
      </w:r>
      <w:r w:rsidRPr="009A0AC3">
        <w:rPr>
          <w:rFonts w:cs="Calibri"/>
          <w:b/>
          <w:lang w:val="es-PR"/>
        </w:rPr>
        <w:tab/>
      </w:r>
      <w:r w:rsidR="009A0AC3">
        <w:rPr>
          <w:rFonts w:cs="Calibri"/>
          <w:b/>
          <w:lang w:val="es-PR"/>
        </w:rPr>
        <w:tab/>
      </w:r>
      <w:r w:rsidR="00966BF2" w:rsidRPr="009A0AC3">
        <w:rPr>
          <w:rFonts w:cs="Calibri"/>
          <w:lang w:val="es-PR"/>
        </w:rPr>
        <w:t xml:space="preserve">(787) </w:t>
      </w:r>
      <w:r w:rsidR="009A0AC3">
        <w:rPr>
          <w:rFonts w:cs="Calibri"/>
          <w:lang w:val="es-PR"/>
        </w:rPr>
        <w:t>289-7600 E</w:t>
      </w:r>
      <w:r w:rsidR="00F22488" w:rsidRPr="009A0AC3">
        <w:rPr>
          <w:rFonts w:cs="Calibri"/>
          <w:lang w:val="es-PR"/>
        </w:rPr>
        <w:t xml:space="preserve">xt. 2506, 2503, </w:t>
      </w:r>
      <w:r w:rsidR="00966BF2" w:rsidRPr="009A0AC3">
        <w:rPr>
          <w:rFonts w:cs="Calibri"/>
          <w:lang w:val="es-PR"/>
        </w:rPr>
        <w:t>2508</w:t>
      </w:r>
    </w:p>
    <w:p w:rsidR="00296CCD" w:rsidRPr="009A0AC3" w:rsidRDefault="00296CCD" w:rsidP="00015C3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9A0AC3">
        <w:rPr>
          <w:rFonts w:cs="Calibri"/>
          <w:b/>
          <w:lang w:val="es-PR"/>
        </w:rPr>
        <w:t xml:space="preserve">Horario: </w:t>
      </w:r>
      <w:r w:rsidRPr="009A0AC3">
        <w:rPr>
          <w:rFonts w:cs="Calibri"/>
          <w:b/>
          <w:lang w:val="es-PR"/>
        </w:rPr>
        <w:tab/>
      </w:r>
      <w:r w:rsidRPr="009A0AC3">
        <w:rPr>
          <w:rFonts w:cs="Calibri"/>
          <w:b/>
          <w:lang w:val="es-PR"/>
        </w:rPr>
        <w:tab/>
      </w:r>
      <w:r w:rsidRPr="009A0AC3">
        <w:rPr>
          <w:rFonts w:cs="Calibri"/>
          <w:lang w:val="es-PR"/>
        </w:rPr>
        <w:t xml:space="preserve">lunes a viernes de 8:00 a.m. – 4:30 p.m.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A0AC3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9A0AC3" w:rsidRDefault="004A6454" w:rsidP="00D472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9A0AC3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5F6B34EE" wp14:editId="2EDA7CD6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9A0AC3" w:rsidRDefault="005D72CC" w:rsidP="00D4724A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9A0AC3">
              <w:rPr>
                <w:rFonts w:cs="Calibri"/>
                <w:b/>
                <w:sz w:val="28"/>
                <w:szCs w:val="28"/>
                <w:lang w:val="es-PR"/>
              </w:rPr>
              <w:t>Costo</w:t>
            </w:r>
            <w:r w:rsidR="004979AF" w:rsidRPr="009A0AC3">
              <w:rPr>
                <w:rFonts w:cs="Calibr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9A0AC3">
              <w:rPr>
                <w:rFonts w:cs="Calibri"/>
                <w:b/>
                <w:sz w:val="28"/>
                <w:szCs w:val="28"/>
                <w:lang w:val="es-PR"/>
              </w:rPr>
              <w:t>Método</w:t>
            </w:r>
            <w:r w:rsidR="004979AF" w:rsidRPr="009A0AC3">
              <w:rPr>
                <w:rFonts w:cs="Calibri"/>
                <w:b/>
                <w:sz w:val="28"/>
                <w:szCs w:val="28"/>
                <w:lang w:val="es-PR"/>
              </w:rPr>
              <w:t>s</w:t>
            </w:r>
            <w:r w:rsidR="008A0367" w:rsidRPr="009A0AC3">
              <w:rPr>
                <w:rFonts w:cs="Calibr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D1C62" w:rsidRPr="00015C3E" w:rsidRDefault="002D4DD6" w:rsidP="00015C3E">
      <w:pPr>
        <w:shd w:val="clear" w:color="auto" w:fill="FFFFFF"/>
        <w:spacing w:before="120" w:after="120" w:line="240" w:lineRule="auto"/>
        <w:rPr>
          <w:rFonts w:eastAsia="Times New Roman" w:cs="Calibri"/>
          <w:lang w:val="es-PR"/>
        </w:rPr>
      </w:pPr>
      <w:r w:rsidRPr="00015C3E">
        <w:rPr>
          <w:rFonts w:eastAsia="Times New Roman" w:cs="Calibri"/>
          <w:lang w:val="es-PR"/>
        </w:rPr>
        <w:t>No conlleva costo para el ciudadano</w:t>
      </w:r>
      <w:r w:rsidR="005E17FC" w:rsidRPr="00015C3E">
        <w:rPr>
          <w:rFonts w:eastAsia="Times New Roman" w:cs="Calibri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9A0AC3" w:rsidTr="00E579EE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9A0AC3" w:rsidRDefault="004A6454" w:rsidP="00D472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9A0AC3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0EF3D737" wp14:editId="3B9418AC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9A0AC3" w:rsidRDefault="003E0674" w:rsidP="00D4724A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9A0AC3">
              <w:rPr>
                <w:rFonts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9A0AC3">
              <w:rPr>
                <w:rFonts w:cs="Calibr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3A7648" w:rsidRPr="00DD3C11" w:rsidRDefault="00C57B92" w:rsidP="00DD3C11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t>Será considerada elegible toda institución que</w:t>
      </w:r>
      <w:r w:rsidR="003A7648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provea servicio regular de comida a los</w:t>
      </w:r>
      <w:r w:rsidR="003A7648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deambulantes y que cumpla con los siguientes</w:t>
      </w:r>
      <w:r w:rsidR="003A7648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requisitos:</w:t>
      </w:r>
    </w:p>
    <w:p w:rsidR="003A7648" w:rsidRPr="00DD3C11" w:rsidRDefault="003A7648" w:rsidP="00DD3C1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t>Estar</w:t>
      </w:r>
      <w:r w:rsidR="00C57B92" w:rsidRPr="00DD3C11">
        <w:rPr>
          <w:rFonts w:cs="Calibri"/>
          <w:lang w:val="es-PR"/>
        </w:rPr>
        <w:t xml:space="preserve"> incorporada en el Departamento de</w:t>
      </w:r>
      <w:r w:rsidRPr="00DD3C11">
        <w:rPr>
          <w:rFonts w:cs="Calibri"/>
          <w:lang w:val="es-PR"/>
        </w:rPr>
        <w:t xml:space="preserve"> </w:t>
      </w:r>
      <w:r w:rsidR="00C57B92" w:rsidRPr="00DD3C11">
        <w:rPr>
          <w:rFonts w:cs="Calibri"/>
          <w:lang w:val="es-PR"/>
        </w:rPr>
        <w:t>Estado (Certificado de Incorporación).</w:t>
      </w:r>
    </w:p>
    <w:p w:rsidR="003A7648" w:rsidRPr="00DD3C11" w:rsidRDefault="00C57B92" w:rsidP="00DD3C1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t>Presentar una carta del Departamento de</w:t>
      </w:r>
      <w:r w:rsidR="003A7648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Hacienda que indique que es una institución</w:t>
      </w:r>
      <w:r w:rsidR="003A7648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sin fines de lucro.</w:t>
      </w:r>
    </w:p>
    <w:p w:rsidR="003A7648" w:rsidRPr="00DD3C11" w:rsidRDefault="00C57B92" w:rsidP="00DD3C1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t>Tener una Exención Contributiva Federal (501).</w:t>
      </w:r>
    </w:p>
    <w:p w:rsidR="003A7648" w:rsidRPr="00DD3C11" w:rsidRDefault="00C57B92" w:rsidP="00DD3C1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t>Poseer licencia o certificación del</w:t>
      </w:r>
      <w:r w:rsidR="003A7648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Departamento de la Familia que autorice la</w:t>
      </w:r>
      <w:r w:rsidR="003A7648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prestación de servicios.</w:t>
      </w:r>
    </w:p>
    <w:p w:rsidR="00455C58" w:rsidRPr="00DD3C11" w:rsidRDefault="00C57B92" w:rsidP="00DD3C1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t xml:space="preserve">Proveer </w:t>
      </w:r>
      <w:r w:rsidR="00455C58" w:rsidRPr="00DD3C11">
        <w:rPr>
          <w:rFonts w:cs="Calibri"/>
          <w:lang w:val="es-PR"/>
        </w:rPr>
        <w:t>copia del Certificado de Salu</w:t>
      </w:r>
      <w:r w:rsidR="00C5236D" w:rsidRPr="00DD3C11">
        <w:rPr>
          <w:rFonts w:cs="Calibri"/>
          <w:lang w:val="es-PR"/>
        </w:rPr>
        <w:t>d.</w:t>
      </w:r>
    </w:p>
    <w:p w:rsidR="00696784" w:rsidRPr="00DD3C11" w:rsidRDefault="00455C58" w:rsidP="00DD3C1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t>Proveer copia del</w:t>
      </w:r>
      <w:r w:rsidR="003A7648" w:rsidRPr="00DD3C11">
        <w:rPr>
          <w:rFonts w:cs="Calibri"/>
          <w:lang w:val="es-PR"/>
        </w:rPr>
        <w:t xml:space="preserve"> </w:t>
      </w:r>
      <w:r w:rsidR="00C57B92" w:rsidRPr="00DD3C11">
        <w:rPr>
          <w:rFonts w:cs="Calibri"/>
          <w:lang w:val="es-PR"/>
        </w:rPr>
        <w:t>Certificado de Bomberos.</w:t>
      </w:r>
    </w:p>
    <w:p w:rsidR="00C5236D" w:rsidRPr="00DD3C11" w:rsidRDefault="00C57B92" w:rsidP="00DD3C1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t>Tener instalaciones de cocina y comedor.</w:t>
      </w:r>
      <w:r w:rsidR="00696784" w:rsidRPr="00DD3C11">
        <w:rPr>
          <w:rFonts w:cs="Calibri"/>
          <w:lang w:val="es-PR"/>
        </w:rPr>
        <w:t xml:space="preserve"> </w:t>
      </w:r>
    </w:p>
    <w:p w:rsidR="00696784" w:rsidRPr="00DD3C11" w:rsidRDefault="00C57B92" w:rsidP="00DD3C1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lastRenderedPageBreak/>
        <w:t>Licencia o certificación emitida por la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Administración de Servicios de Salud Mental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y Contra la Adicción (ASSMCA) que autorice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la prestación de servicios (aplicable a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in</w:t>
      </w:r>
      <w:r w:rsidR="00696784" w:rsidRPr="00DD3C11">
        <w:rPr>
          <w:rFonts w:cs="Calibri"/>
          <w:lang w:val="es-PR"/>
        </w:rPr>
        <w:t>s</w:t>
      </w:r>
      <w:r w:rsidRPr="00DD3C11">
        <w:rPr>
          <w:rFonts w:cs="Calibri"/>
          <w:lang w:val="es-PR"/>
        </w:rPr>
        <w:t>titu</w:t>
      </w:r>
      <w:r w:rsidR="00696784" w:rsidRPr="00DD3C11">
        <w:rPr>
          <w:rFonts w:cs="Calibri"/>
          <w:lang w:val="es-PR"/>
        </w:rPr>
        <w:t>c</w:t>
      </w:r>
      <w:r w:rsidRPr="00DD3C11">
        <w:rPr>
          <w:rFonts w:cs="Calibri"/>
          <w:lang w:val="es-PR"/>
        </w:rPr>
        <w:t>iones que atienden a individuos con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problemas de adicción).</w:t>
      </w:r>
    </w:p>
    <w:p w:rsidR="00696784" w:rsidRPr="00DD3C11" w:rsidRDefault="00C57B92" w:rsidP="00DD3C1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t>Tener instalaciones adecuadas para el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almacenaje de alimentos.</w:t>
      </w:r>
      <w:r w:rsidR="00696784" w:rsidRPr="00DD3C11">
        <w:rPr>
          <w:rFonts w:cs="Calibri"/>
          <w:lang w:val="es-PR"/>
        </w:rPr>
        <w:t xml:space="preserve"> </w:t>
      </w:r>
    </w:p>
    <w:p w:rsidR="007219EC" w:rsidRPr="00DD3C11" w:rsidRDefault="00C57B92" w:rsidP="00DD3C1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DD3C11">
        <w:rPr>
          <w:rFonts w:cs="Calibri"/>
          <w:lang w:val="es-PR"/>
        </w:rPr>
        <w:t>Proveer una lista con los nombres de los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deambulantes a los cuales brinda servicio.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De no poder cumplir con este requisito,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deberá someter una carta firmada por el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director de la institución, en la cual se indique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el número de deambulantes que reciben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servicio de comida y se indique que los</w:t>
      </w:r>
      <w:r w:rsidR="00696784" w:rsidRPr="00DD3C11">
        <w:rPr>
          <w:rFonts w:cs="Calibri"/>
          <w:lang w:val="es-PR"/>
        </w:rPr>
        <w:t xml:space="preserve"> expedientes estarán disponibles </w:t>
      </w:r>
      <w:r w:rsidRPr="00DD3C11">
        <w:rPr>
          <w:rFonts w:cs="Calibri"/>
          <w:lang w:val="es-PR"/>
        </w:rPr>
        <w:t>para la</w:t>
      </w:r>
      <w:r w:rsidR="00696784" w:rsidRPr="00DD3C11">
        <w:rPr>
          <w:rFonts w:cs="Calibri"/>
          <w:lang w:val="es-PR"/>
        </w:rPr>
        <w:t xml:space="preserve"> </w:t>
      </w:r>
      <w:r w:rsidRPr="00DD3C11">
        <w:rPr>
          <w:rFonts w:cs="Calibri"/>
          <w:lang w:val="es-PR"/>
        </w:rPr>
        <w:t>verificación de los datos numéricos provistos.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A0AC3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9A0AC3" w:rsidRDefault="004A6454" w:rsidP="00D472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9A0AC3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3B834119" wp14:editId="356521EB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9A0AC3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9A0AC3" w:rsidRDefault="00FD084F" w:rsidP="00D4724A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9A0AC3">
              <w:rPr>
                <w:rFonts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7A2FA4" w:rsidRPr="009A0AC3" w:rsidRDefault="00057163" w:rsidP="00D4724A">
      <w:pPr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720"/>
        <w:rPr>
          <w:rFonts w:cs="Calibri"/>
          <w:lang w:val="es-PR"/>
        </w:rPr>
      </w:pPr>
      <w:r w:rsidRPr="009A0AC3">
        <w:rPr>
          <w:rFonts w:cs="Calibri"/>
          <w:b/>
          <w:color w:val="000000"/>
          <w:lang w:val="es-PR"/>
        </w:rPr>
        <w:t>¿Dónde se distribuyen los alimentos?</w:t>
      </w:r>
      <w:r w:rsidR="007A2FA4" w:rsidRPr="009A0AC3">
        <w:rPr>
          <w:rFonts w:cs="Calibri"/>
          <w:b/>
          <w:color w:val="000000"/>
          <w:lang w:val="es-PR"/>
        </w:rPr>
        <w:t xml:space="preserve"> - </w:t>
      </w:r>
      <w:r w:rsidRPr="009A0AC3">
        <w:rPr>
          <w:rFonts w:cs="Calibri"/>
          <w:color w:val="000000"/>
          <w:lang w:val="es-PR"/>
        </w:rPr>
        <w:t>Los alimentos que se le distribuyen a las</w:t>
      </w:r>
      <w:r w:rsidR="002E64F2" w:rsidRPr="009A0AC3">
        <w:rPr>
          <w:rFonts w:cs="Calibri"/>
          <w:color w:val="000000"/>
          <w:lang w:val="es-PR"/>
        </w:rPr>
        <w:t xml:space="preserve"> </w:t>
      </w:r>
      <w:r w:rsidRPr="009A0AC3">
        <w:rPr>
          <w:rFonts w:cs="Calibri"/>
          <w:color w:val="000000"/>
          <w:lang w:val="es-PR"/>
        </w:rPr>
        <w:t>instituciones</w:t>
      </w:r>
      <w:r w:rsidRPr="009A0AC3">
        <w:rPr>
          <w:rFonts w:cs="Calibri"/>
          <w:lang w:val="es-PR"/>
        </w:rPr>
        <w:t xml:space="preserve"> de asistencia al </w:t>
      </w:r>
      <w:r w:rsidR="00894944" w:rsidRPr="009A0AC3">
        <w:rPr>
          <w:rFonts w:cs="Calibri"/>
          <w:lang w:val="es-PR"/>
        </w:rPr>
        <w:t>d</w:t>
      </w:r>
      <w:r w:rsidR="007B4994" w:rsidRPr="009A0AC3">
        <w:rPr>
          <w:rFonts w:cs="Calibri"/>
          <w:lang w:val="es-PR"/>
        </w:rPr>
        <w:t>eambulante</w:t>
      </w:r>
      <w:r w:rsidR="002E64F2" w:rsidRPr="009A0AC3">
        <w:rPr>
          <w:rFonts w:cs="Calibri"/>
          <w:lang w:val="es-PR"/>
        </w:rPr>
        <w:t xml:space="preserve"> </w:t>
      </w:r>
      <w:r w:rsidRPr="009A0AC3">
        <w:rPr>
          <w:rFonts w:cs="Calibri"/>
          <w:lang w:val="es-PR"/>
        </w:rPr>
        <w:t>son entregados a representantes de las mismas</w:t>
      </w:r>
      <w:r w:rsidR="002E64F2" w:rsidRPr="009A0AC3">
        <w:rPr>
          <w:rFonts w:cs="Calibri"/>
          <w:lang w:val="es-PR"/>
        </w:rPr>
        <w:t xml:space="preserve"> </w:t>
      </w:r>
      <w:r w:rsidRPr="009A0AC3">
        <w:rPr>
          <w:rFonts w:cs="Calibri"/>
          <w:lang w:val="es-PR"/>
        </w:rPr>
        <w:t>en el Almacén del Programa de Distribución</w:t>
      </w:r>
      <w:r w:rsidR="002E64F2" w:rsidRPr="009A0AC3">
        <w:rPr>
          <w:rFonts w:cs="Calibri"/>
          <w:lang w:val="es-PR"/>
        </w:rPr>
        <w:t xml:space="preserve"> </w:t>
      </w:r>
      <w:r w:rsidRPr="009A0AC3">
        <w:rPr>
          <w:rFonts w:cs="Calibri"/>
          <w:lang w:val="es-PR"/>
        </w:rPr>
        <w:t>de Alimentos, localizado en Bayamón.</w:t>
      </w:r>
      <w:r w:rsidR="002E64F2" w:rsidRPr="009A0AC3">
        <w:rPr>
          <w:rFonts w:cs="Calibri"/>
          <w:lang w:val="es-PR"/>
        </w:rPr>
        <w:t xml:space="preserve"> </w:t>
      </w:r>
      <w:r w:rsidR="007A2FA4" w:rsidRPr="009A0AC3">
        <w:rPr>
          <w:rFonts w:cs="Calibri"/>
          <w:lang w:val="es-PR"/>
        </w:rPr>
        <w:t>L</w:t>
      </w:r>
      <w:r w:rsidRPr="009A0AC3">
        <w:rPr>
          <w:rFonts w:cs="Calibri"/>
          <w:lang w:val="es-PR"/>
        </w:rPr>
        <w:t>a fecha y hora de distribución es determinada</w:t>
      </w:r>
      <w:r w:rsidR="002E64F2" w:rsidRPr="009A0AC3">
        <w:rPr>
          <w:rFonts w:cs="Calibri"/>
          <w:lang w:val="es-PR"/>
        </w:rPr>
        <w:t xml:space="preserve"> </w:t>
      </w:r>
      <w:r w:rsidRPr="009A0AC3">
        <w:rPr>
          <w:rFonts w:cs="Calibri"/>
          <w:lang w:val="es-PR"/>
        </w:rPr>
        <w:t>por el Coordinador del Programa en conjunto</w:t>
      </w:r>
      <w:r w:rsidR="002E64F2" w:rsidRPr="009A0AC3">
        <w:rPr>
          <w:rFonts w:cs="Calibri"/>
          <w:lang w:val="es-PR"/>
        </w:rPr>
        <w:t xml:space="preserve"> </w:t>
      </w:r>
      <w:r w:rsidRPr="009A0AC3">
        <w:rPr>
          <w:rFonts w:cs="Calibri"/>
          <w:lang w:val="es-PR"/>
        </w:rPr>
        <w:t>con el Supervisor del Almacén.</w:t>
      </w:r>
    </w:p>
    <w:p w:rsidR="00FD084F" w:rsidRDefault="002E64F2" w:rsidP="00D4724A">
      <w:pPr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720"/>
        <w:rPr>
          <w:rFonts w:cs="Calibri"/>
          <w:lang w:val="es-PR"/>
        </w:rPr>
      </w:pPr>
      <w:r w:rsidRPr="009A0AC3">
        <w:rPr>
          <w:rFonts w:cs="Calibri"/>
          <w:b/>
          <w:lang w:val="es-PR"/>
        </w:rPr>
        <w:t>¿Cuánta cantidad de alimento se puede obtener?</w:t>
      </w:r>
      <w:r w:rsidR="007A2FA4" w:rsidRPr="009A0AC3">
        <w:rPr>
          <w:rFonts w:cs="Calibri"/>
          <w:b/>
          <w:lang w:val="es-PR"/>
        </w:rPr>
        <w:t xml:space="preserve"> </w:t>
      </w:r>
      <w:r w:rsidR="007A2FA4" w:rsidRPr="009A0AC3">
        <w:rPr>
          <w:rFonts w:cs="Calibri"/>
          <w:lang w:val="es-PR"/>
        </w:rPr>
        <w:t xml:space="preserve">– </w:t>
      </w:r>
      <w:r w:rsidR="00057163" w:rsidRPr="009A0AC3">
        <w:rPr>
          <w:rFonts w:cs="Calibri"/>
          <w:lang w:val="es-PR"/>
        </w:rPr>
        <w:t>La cantidad de alimentos que se le otorgue</w:t>
      </w:r>
      <w:r w:rsidRPr="009A0AC3">
        <w:rPr>
          <w:rFonts w:cs="Calibri"/>
          <w:lang w:val="es-PR"/>
        </w:rPr>
        <w:t xml:space="preserve"> </w:t>
      </w:r>
      <w:r w:rsidR="00057163" w:rsidRPr="009A0AC3">
        <w:rPr>
          <w:rFonts w:cs="Calibri"/>
          <w:lang w:val="es-PR"/>
        </w:rPr>
        <w:t>a cada institución dependerá de la cantidad</w:t>
      </w:r>
      <w:r w:rsidRPr="009A0AC3">
        <w:rPr>
          <w:rFonts w:cs="Calibri"/>
          <w:lang w:val="es-PR"/>
        </w:rPr>
        <w:t xml:space="preserve"> </w:t>
      </w:r>
      <w:r w:rsidR="00057163" w:rsidRPr="009A0AC3">
        <w:rPr>
          <w:rFonts w:cs="Calibri"/>
          <w:lang w:val="es-PR"/>
        </w:rPr>
        <w:t>de deambulantes atendidos.</w:t>
      </w:r>
    </w:p>
    <w:p w:rsidR="00C4155F" w:rsidRDefault="00C4155F" w:rsidP="00D4724A">
      <w:pPr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720"/>
        <w:rPr>
          <w:rFonts w:cs="Calibri"/>
          <w:lang w:val="es-PR"/>
        </w:rPr>
      </w:pPr>
      <w:r>
        <w:rPr>
          <w:rFonts w:cs="Calibri"/>
          <w:b/>
          <w:lang w:val="es-PR"/>
        </w:rPr>
        <w:t>¿Cuál es la solicitud que las instituciones interesadas en el servicio</w:t>
      </w:r>
      <w:r w:rsidR="0094148A">
        <w:rPr>
          <w:rFonts w:cs="Calibri"/>
          <w:b/>
          <w:lang w:val="es-PR"/>
        </w:rPr>
        <w:t xml:space="preserve"> de Alimentos de Asistencia al Deambulante</w:t>
      </w:r>
      <w:r>
        <w:rPr>
          <w:rFonts w:cs="Calibri"/>
          <w:b/>
          <w:lang w:val="es-PR"/>
        </w:rPr>
        <w:t xml:space="preserve"> deben completar?</w:t>
      </w:r>
      <w:r>
        <w:rPr>
          <w:rFonts w:cs="Calibri"/>
          <w:lang w:val="es-PR"/>
        </w:rPr>
        <w:t xml:space="preserve"> – Las instituciones interesadas en participar en este Programa pueden radicar su solicitud en la Oficina Central de ADSEF en:</w:t>
      </w:r>
    </w:p>
    <w:p w:rsidR="00C4155F" w:rsidRPr="00C4155F" w:rsidRDefault="00C4155F" w:rsidP="00C4155F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  <w:lang w:val="es-PR"/>
        </w:rPr>
      </w:pPr>
      <w:r w:rsidRPr="00C4155F">
        <w:rPr>
          <w:rFonts w:cs="Calibri"/>
          <w:lang w:val="es-PR"/>
        </w:rPr>
        <w:t>Ave. Ponce de León #800,</w:t>
      </w:r>
    </w:p>
    <w:p w:rsidR="00C4155F" w:rsidRPr="0094148A" w:rsidRDefault="00C4155F" w:rsidP="00C4155F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lang w:val="en-US"/>
        </w:rPr>
      </w:pPr>
      <w:r w:rsidRPr="0094148A">
        <w:rPr>
          <w:rFonts w:cs="Calibri"/>
          <w:lang w:val="en-US"/>
        </w:rPr>
        <w:t>Edif. Capitol Office Building, 9no Piso</w:t>
      </w:r>
    </w:p>
    <w:p w:rsidR="00C4155F" w:rsidRPr="00C4155F" w:rsidRDefault="00C4155F" w:rsidP="00C4155F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lang w:val="es-PR"/>
        </w:rPr>
      </w:pPr>
      <w:r w:rsidRPr="00C4155F">
        <w:rPr>
          <w:rFonts w:cs="Calibri"/>
          <w:lang w:val="es-PR"/>
        </w:rPr>
        <w:t>Parada 11, Miramar, Puerto Rico</w:t>
      </w:r>
    </w:p>
    <w:p w:rsidR="00C4155F" w:rsidRPr="00C4155F" w:rsidRDefault="00C4155F" w:rsidP="00C4155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>
        <w:rPr>
          <w:rFonts w:cs="Calibri"/>
          <w:lang w:val="es-PR"/>
        </w:rPr>
        <w:t>Teléfono: (787) 289 –7600 Ext. 2503, 2510, 2506, 2509, 2508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9A0AC3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9A0AC3" w:rsidRDefault="004A6454" w:rsidP="00D4724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9A0AC3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3D2F2F1" wp14:editId="4EBEAE5D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9A0AC3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9A0AC3" w:rsidRDefault="006C6588" w:rsidP="00D4724A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9A0AC3">
              <w:rPr>
                <w:rFonts w:cs="Calibri"/>
                <w:b/>
                <w:sz w:val="28"/>
                <w:szCs w:val="28"/>
                <w:lang w:val="es-PR"/>
              </w:rPr>
              <w:t>E</w:t>
            </w:r>
            <w:r w:rsidR="00FD084F" w:rsidRPr="009A0AC3">
              <w:rPr>
                <w:rFonts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D00B89" w:rsidRPr="009A0AC3" w:rsidRDefault="00E46FCA" w:rsidP="00D4724A">
      <w:pPr>
        <w:spacing w:before="120" w:after="120" w:line="240" w:lineRule="auto"/>
        <w:rPr>
          <w:rFonts w:cs="Calibri"/>
          <w:lang w:val="es-PR"/>
        </w:rPr>
      </w:pPr>
      <w:hyperlink r:id="rId21" w:history="1">
        <w:r w:rsidR="009A0AC3">
          <w:rPr>
            <w:rStyle w:val="Hyperlink"/>
            <w:rFonts w:cs="Calibri"/>
            <w:lang w:val="es-PR"/>
          </w:rPr>
          <w:t>Página Web ADSEF</w:t>
        </w:r>
      </w:hyperlink>
      <w:r w:rsidR="00D00B89" w:rsidRPr="009A0AC3">
        <w:rPr>
          <w:rStyle w:val="Hyperlink"/>
          <w:rFonts w:cs="Calibri"/>
          <w:lang w:val="es-PR"/>
        </w:rPr>
        <w:t xml:space="preserve"> </w:t>
      </w:r>
      <w:r w:rsidR="00D00B89" w:rsidRPr="009A0AC3">
        <w:rPr>
          <w:rStyle w:val="Hyperlink"/>
          <w:rFonts w:cs="Calibri"/>
          <w:color w:val="auto"/>
          <w:u w:val="none"/>
          <w:lang w:val="es-PR"/>
        </w:rPr>
        <w:t>- https://servicios.adsef.pr.gov/</w:t>
      </w:r>
    </w:p>
    <w:p w:rsidR="007B4994" w:rsidRPr="001057DD" w:rsidRDefault="00E46FCA" w:rsidP="00D4724A">
      <w:pPr>
        <w:spacing w:before="120" w:after="120" w:line="240" w:lineRule="auto"/>
        <w:rPr>
          <w:rFonts w:cs="Calibri"/>
        </w:rPr>
      </w:pPr>
      <w:hyperlink r:id="rId22" w:history="1">
        <w:r w:rsidR="00754F3E" w:rsidRPr="00DF688C">
          <w:rPr>
            <w:rStyle w:val="Hyperlink"/>
            <w:rFonts w:cs="Calibri"/>
            <w:lang w:val="es-PR"/>
          </w:rPr>
          <w:t>Folleto Programa Asistencia al Deambulante-Soup Kitchen</w:t>
        </w:r>
      </w:hyperlink>
    </w:p>
    <w:sectPr w:rsidR="007B4994" w:rsidRPr="001057DD" w:rsidSect="0095372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C7" w:rsidRDefault="00DC0FC7" w:rsidP="005501A9">
      <w:pPr>
        <w:spacing w:after="0" w:line="240" w:lineRule="auto"/>
      </w:pPr>
      <w:r>
        <w:separator/>
      </w:r>
    </w:p>
  </w:endnote>
  <w:endnote w:type="continuationSeparator" w:id="0">
    <w:p w:rsidR="00DC0FC7" w:rsidRDefault="00DC0FC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A" w:rsidRDefault="00433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51B3F" w:rsidTr="001057DD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C51B3F" w:rsidRDefault="004A6454" w:rsidP="001057DD">
          <w:pPr>
            <w:pStyle w:val="Footer"/>
            <w:spacing w:before="120" w:after="120"/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6E5533B8" wp14:editId="55ADFE52">
                <wp:extent cx="466090" cy="363550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3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C51B3F" w:rsidRPr="008C7D57" w:rsidRDefault="00DD3C11" w:rsidP="001057DD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C51B3F" w:rsidRPr="008C7D57" w:rsidRDefault="00C51B3F" w:rsidP="001057DD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E46FCA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E46FCA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2D1943" w:rsidRPr="00C51B3F" w:rsidRDefault="002D1943" w:rsidP="00C51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A" w:rsidRDefault="00433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C7" w:rsidRDefault="00DC0FC7" w:rsidP="005501A9">
      <w:pPr>
        <w:spacing w:after="0" w:line="240" w:lineRule="auto"/>
      </w:pPr>
      <w:r>
        <w:separator/>
      </w:r>
    </w:p>
  </w:footnote>
  <w:footnote w:type="continuationSeparator" w:id="0">
    <w:p w:rsidR="00DC0FC7" w:rsidRDefault="00DC0FC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A" w:rsidRDefault="00433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31" w:rsidRPr="00667D45" w:rsidRDefault="00B83031" w:rsidP="00B83031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</w:p>
  <w:p w:rsidR="002D1943" w:rsidRDefault="009A0AC3" w:rsidP="0047186A">
    <w:pPr>
      <w:spacing w:after="0" w:line="240" w:lineRule="auto"/>
      <w:rPr>
        <w:b/>
        <w:sz w:val="28"/>
        <w:szCs w:val="28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AFB6E9" wp14:editId="3C08D1ED">
              <wp:simplePos x="0" y="0"/>
              <wp:positionH relativeFrom="column">
                <wp:posOffset>4918710</wp:posOffset>
              </wp:positionH>
              <wp:positionV relativeFrom="paragraph">
                <wp:posOffset>213360</wp:posOffset>
              </wp:positionV>
              <wp:extent cx="1050290" cy="349250"/>
              <wp:effectExtent l="0" t="0" r="16510" b="133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93D" w:rsidRDefault="002D493D" w:rsidP="00642A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ADSEF-008</w:t>
                          </w:r>
                        </w:p>
                        <w:p w:rsidR="00B83031" w:rsidRPr="00456683" w:rsidRDefault="002D493D" w:rsidP="00642A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20-jul-12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3pt;margin-top:16.8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">
              <v:textbox style="mso-fit-shape-to-text:t">
                <w:txbxContent>
                  <w:p w:rsidR="002D493D" w:rsidRDefault="002D493D" w:rsidP="00642A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ADSEF-008</w:t>
                    </w:r>
                  </w:p>
                  <w:p w:rsidR="00B83031" w:rsidRPr="00456683" w:rsidRDefault="002D493D" w:rsidP="00642A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20-jul-12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FA6919" w:rsidRPr="000B11B1">
      <w:rPr>
        <w:b/>
        <w:sz w:val="28"/>
        <w:szCs w:val="28"/>
        <w:lang w:val="es-PR"/>
      </w:rPr>
      <w:t>Orientación</w:t>
    </w:r>
    <w:r w:rsidR="000B11B1" w:rsidRPr="000B11B1">
      <w:rPr>
        <w:b/>
        <w:sz w:val="28"/>
        <w:szCs w:val="28"/>
        <w:lang w:val="es-PR"/>
      </w:rPr>
      <w:t xml:space="preserve"> y </w:t>
    </w:r>
    <w:r w:rsidR="00FA6919" w:rsidRPr="000B11B1">
      <w:rPr>
        <w:b/>
        <w:sz w:val="28"/>
        <w:szCs w:val="28"/>
        <w:lang w:val="es-PR"/>
      </w:rPr>
      <w:t>Requisitos</w:t>
    </w:r>
    <w:r w:rsidR="000B11B1" w:rsidRPr="000B11B1">
      <w:rPr>
        <w:b/>
        <w:sz w:val="28"/>
        <w:szCs w:val="28"/>
        <w:lang w:val="es-PR"/>
      </w:rPr>
      <w:t xml:space="preserve"> </w:t>
    </w:r>
    <w:r w:rsidR="00FE04E2">
      <w:rPr>
        <w:b/>
        <w:sz w:val="28"/>
        <w:szCs w:val="28"/>
        <w:lang w:val="es-PR"/>
      </w:rPr>
      <w:t>R</w:t>
    </w:r>
    <w:r w:rsidR="000B11B1" w:rsidRPr="000B11B1">
      <w:rPr>
        <w:b/>
        <w:sz w:val="28"/>
        <w:szCs w:val="28"/>
        <w:lang w:val="es-PR"/>
      </w:rPr>
      <w:t>elacionad</w:t>
    </w:r>
    <w:r w:rsidR="00FE04E2">
      <w:rPr>
        <w:b/>
        <w:sz w:val="28"/>
        <w:szCs w:val="28"/>
        <w:lang w:val="es-PR"/>
      </w:rPr>
      <w:t>o</w:t>
    </w:r>
    <w:r w:rsidR="000B11B1" w:rsidRPr="000B11B1">
      <w:rPr>
        <w:b/>
        <w:sz w:val="28"/>
        <w:szCs w:val="28"/>
        <w:lang w:val="es-PR"/>
      </w:rPr>
      <w:t xml:space="preserve"> al Programa de Distribución de </w:t>
    </w:r>
    <w:r w:rsidR="007C45CC">
      <w:rPr>
        <w:b/>
        <w:sz w:val="28"/>
        <w:szCs w:val="28"/>
        <w:lang w:val="es-PR"/>
      </w:rPr>
      <w:t xml:space="preserve">        </w:t>
    </w:r>
    <w:r w:rsidR="000B11B1" w:rsidRPr="000B11B1">
      <w:rPr>
        <w:b/>
        <w:sz w:val="28"/>
        <w:szCs w:val="28"/>
        <w:lang w:val="es-PR"/>
      </w:rPr>
      <w:t>Alimentos de Asistencia al Deambulante (Soup Kitchen)</w:t>
    </w:r>
  </w:p>
  <w:p w:rsidR="00CF3379" w:rsidRPr="0047186A" w:rsidRDefault="00CF3379" w:rsidP="0047186A">
    <w:pPr>
      <w:spacing w:after="0" w:line="24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A" w:rsidRDefault="00433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E3F"/>
    <w:multiLevelType w:val="hybridMultilevel"/>
    <w:tmpl w:val="36803C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644"/>
    <w:multiLevelType w:val="hybridMultilevel"/>
    <w:tmpl w:val="55A63386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3FE3"/>
    <w:multiLevelType w:val="hybridMultilevel"/>
    <w:tmpl w:val="2E76CE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A3395"/>
    <w:multiLevelType w:val="hybridMultilevel"/>
    <w:tmpl w:val="5258898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39FC"/>
    <w:multiLevelType w:val="hybridMultilevel"/>
    <w:tmpl w:val="DCAC388C"/>
    <w:lvl w:ilvl="0" w:tplc="DF36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23B35"/>
    <w:multiLevelType w:val="hybridMultilevel"/>
    <w:tmpl w:val="8D06A288"/>
    <w:lvl w:ilvl="0" w:tplc="CA2A6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FF4522"/>
    <w:multiLevelType w:val="hybridMultilevel"/>
    <w:tmpl w:val="D52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549C5"/>
    <w:multiLevelType w:val="hybridMultilevel"/>
    <w:tmpl w:val="8ABE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02472"/>
    <w:multiLevelType w:val="hybridMultilevel"/>
    <w:tmpl w:val="9F12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E2D57"/>
    <w:multiLevelType w:val="hybridMultilevel"/>
    <w:tmpl w:val="2FB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74F81"/>
    <w:multiLevelType w:val="hybridMultilevel"/>
    <w:tmpl w:val="13B0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C45F2"/>
    <w:multiLevelType w:val="hybridMultilevel"/>
    <w:tmpl w:val="30767816"/>
    <w:lvl w:ilvl="0" w:tplc="5C1C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506A2"/>
    <w:multiLevelType w:val="hybridMultilevel"/>
    <w:tmpl w:val="05C0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B75D89"/>
    <w:multiLevelType w:val="hybridMultilevel"/>
    <w:tmpl w:val="30C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9D2ECD"/>
    <w:multiLevelType w:val="hybridMultilevel"/>
    <w:tmpl w:val="49883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611E64"/>
    <w:multiLevelType w:val="hybridMultilevel"/>
    <w:tmpl w:val="67268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DCB0326"/>
    <w:multiLevelType w:val="hybridMultilevel"/>
    <w:tmpl w:val="29924A6A"/>
    <w:lvl w:ilvl="0" w:tplc="0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1606EC7"/>
    <w:multiLevelType w:val="hybridMultilevel"/>
    <w:tmpl w:val="0B04ECD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258B6"/>
    <w:multiLevelType w:val="hybridMultilevel"/>
    <w:tmpl w:val="128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ED4B30"/>
    <w:multiLevelType w:val="hybridMultilevel"/>
    <w:tmpl w:val="5AF4AB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27"/>
  </w:num>
  <w:num w:numId="4">
    <w:abstractNumId w:val="45"/>
  </w:num>
  <w:num w:numId="5">
    <w:abstractNumId w:val="23"/>
  </w:num>
  <w:num w:numId="6">
    <w:abstractNumId w:val="22"/>
  </w:num>
  <w:num w:numId="7">
    <w:abstractNumId w:val="28"/>
  </w:num>
  <w:num w:numId="8">
    <w:abstractNumId w:val="21"/>
  </w:num>
  <w:num w:numId="9">
    <w:abstractNumId w:val="5"/>
  </w:num>
  <w:num w:numId="10">
    <w:abstractNumId w:val="24"/>
  </w:num>
  <w:num w:numId="11">
    <w:abstractNumId w:val="43"/>
  </w:num>
  <w:num w:numId="12">
    <w:abstractNumId w:val="42"/>
  </w:num>
  <w:num w:numId="13">
    <w:abstractNumId w:val="2"/>
  </w:num>
  <w:num w:numId="14">
    <w:abstractNumId w:val="0"/>
  </w:num>
  <w:num w:numId="15">
    <w:abstractNumId w:val="10"/>
  </w:num>
  <w:num w:numId="16">
    <w:abstractNumId w:val="33"/>
  </w:num>
  <w:num w:numId="17">
    <w:abstractNumId w:val="36"/>
  </w:num>
  <w:num w:numId="18">
    <w:abstractNumId w:val="37"/>
  </w:num>
  <w:num w:numId="19">
    <w:abstractNumId w:val="31"/>
  </w:num>
  <w:num w:numId="20">
    <w:abstractNumId w:val="7"/>
  </w:num>
  <w:num w:numId="21">
    <w:abstractNumId w:val="11"/>
  </w:num>
  <w:num w:numId="22">
    <w:abstractNumId w:val="34"/>
  </w:num>
  <w:num w:numId="23">
    <w:abstractNumId w:val="47"/>
  </w:num>
  <w:num w:numId="24">
    <w:abstractNumId w:val="16"/>
  </w:num>
  <w:num w:numId="25">
    <w:abstractNumId w:val="26"/>
  </w:num>
  <w:num w:numId="26">
    <w:abstractNumId w:val="20"/>
  </w:num>
  <w:num w:numId="27">
    <w:abstractNumId w:val="40"/>
  </w:num>
  <w:num w:numId="28">
    <w:abstractNumId w:val="13"/>
  </w:num>
  <w:num w:numId="29">
    <w:abstractNumId w:val="39"/>
  </w:num>
  <w:num w:numId="30">
    <w:abstractNumId w:val="8"/>
  </w:num>
  <w:num w:numId="31">
    <w:abstractNumId w:val="30"/>
  </w:num>
  <w:num w:numId="32">
    <w:abstractNumId w:val="25"/>
  </w:num>
  <w:num w:numId="33">
    <w:abstractNumId w:val="6"/>
  </w:num>
  <w:num w:numId="34">
    <w:abstractNumId w:val="12"/>
  </w:num>
  <w:num w:numId="35">
    <w:abstractNumId w:val="44"/>
  </w:num>
  <w:num w:numId="36">
    <w:abstractNumId w:val="29"/>
  </w:num>
  <w:num w:numId="37">
    <w:abstractNumId w:val="35"/>
  </w:num>
  <w:num w:numId="38">
    <w:abstractNumId w:val="14"/>
  </w:num>
  <w:num w:numId="39">
    <w:abstractNumId w:val="32"/>
  </w:num>
  <w:num w:numId="40">
    <w:abstractNumId w:val="17"/>
  </w:num>
  <w:num w:numId="41">
    <w:abstractNumId w:val="4"/>
  </w:num>
  <w:num w:numId="42">
    <w:abstractNumId w:val="19"/>
  </w:num>
  <w:num w:numId="43">
    <w:abstractNumId w:val="3"/>
  </w:num>
  <w:num w:numId="44">
    <w:abstractNumId w:val="41"/>
  </w:num>
  <w:num w:numId="45">
    <w:abstractNumId w:val="9"/>
  </w:num>
  <w:num w:numId="46">
    <w:abstractNumId w:val="1"/>
  </w:num>
  <w:num w:numId="47">
    <w:abstractNumId w:val="46"/>
  </w:num>
  <w:num w:numId="4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255C"/>
    <w:rsid w:val="00015C3E"/>
    <w:rsid w:val="00015EBF"/>
    <w:rsid w:val="00020B54"/>
    <w:rsid w:val="00031A8D"/>
    <w:rsid w:val="00036B12"/>
    <w:rsid w:val="0003770C"/>
    <w:rsid w:val="00055E51"/>
    <w:rsid w:val="00056C01"/>
    <w:rsid w:val="00057000"/>
    <w:rsid w:val="00057163"/>
    <w:rsid w:val="00065992"/>
    <w:rsid w:val="00070762"/>
    <w:rsid w:val="000711C4"/>
    <w:rsid w:val="00073967"/>
    <w:rsid w:val="0007474E"/>
    <w:rsid w:val="000819D5"/>
    <w:rsid w:val="00084E4A"/>
    <w:rsid w:val="00084FA6"/>
    <w:rsid w:val="00086721"/>
    <w:rsid w:val="000A1207"/>
    <w:rsid w:val="000A5DE3"/>
    <w:rsid w:val="000B11B1"/>
    <w:rsid w:val="000B3068"/>
    <w:rsid w:val="000B69D3"/>
    <w:rsid w:val="000C2F63"/>
    <w:rsid w:val="000E1DD5"/>
    <w:rsid w:val="000F42F6"/>
    <w:rsid w:val="001045AC"/>
    <w:rsid w:val="001057DD"/>
    <w:rsid w:val="0011279C"/>
    <w:rsid w:val="001133A1"/>
    <w:rsid w:val="001170E6"/>
    <w:rsid w:val="00117657"/>
    <w:rsid w:val="00126FC9"/>
    <w:rsid w:val="001313F8"/>
    <w:rsid w:val="00133BAB"/>
    <w:rsid w:val="001356F1"/>
    <w:rsid w:val="00146F6A"/>
    <w:rsid w:val="00154548"/>
    <w:rsid w:val="0016664C"/>
    <w:rsid w:val="00173244"/>
    <w:rsid w:val="00174283"/>
    <w:rsid w:val="00181A79"/>
    <w:rsid w:val="00184A8C"/>
    <w:rsid w:val="00185464"/>
    <w:rsid w:val="00185F44"/>
    <w:rsid w:val="001A0458"/>
    <w:rsid w:val="001A1343"/>
    <w:rsid w:val="001B4194"/>
    <w:rsid w:val="001B6524"/>
    <w:rsid w:val="001B6C87"/>
    <w:rsid w:val="001C2D5F"/>
    <w:rsid w:val="001C7A01"/>
    <w:rsid w:val="001D4209"/>
    <w:rsid w:val="001E770C"/>
    <w:rsid w:val="002004EC"/>
    <w:rsid w:val="0020276F"/>
    <w:rsid w:val="00203A78"/>
    <w:rsid w:val="00204116"/>
    <w:rsid w:val="00207971"/>
    <w:rsid w:val="00224953"/>
    <w:rsid w:val="002251E7"/>
    <w:rsid w:val="00227F69"/>
    <w:rsid w:val="00231ED1"/>
    <w:rsid w:val="002337B8"/>
    <w:rsid w:val="00245FEB"/>
    <w:rsid w:val="002501E2"/>
    <w:rsid w:val="002734CB"/>
    <w:rsid w:val="00273D0B"/>
    <w:rsid w:val="00277906"/>
    <w:rsid w:val="00277BF0"/>
    <w:rsid w:val="0028410A"/>
    <w:rsid w:val="00296CCD"/>
    <w:rsid w:val="002A01E4"/>
    <w:rsid w:val="002B5156"/>
    <w:rsid w:val="002D1943"/>
    <w:rsid w:val="002D1E0C"/>
    <w:rsid w:val="002D3544"/>
    <w:rsid w:val="002D493D"/>
    <w:rsid w:val="002D4DD6"/>
    <w:rsid w:val="002E05F8"/>
    <w:rsid w:val="002E0F55"/>
    <w:rsid w:val="002E4997"/>
    <w:rsid w:val="002E64F2"/>
    <w:rsid w:val="002F6130"/>
    <w:rsid w:val="00306064"/>
    <w:rsid w:val="00306286"/>
    <w:rsid w:val="00307F9A"/>
    <w:rsid w:val="0031145C"/>
    <w:rsid w:val="00314B8C"/>
    <w:rsid w:val="003166B3"/>
    <w:rsid w:val="00316D81"/>
    <w:rsid w:val="003224BE"/>
    <w:rsid w:val="00330AB0"/>
    <w:rsid w:val="00342F17"/>
    <w:rsid w:val="00345FE2"/>
    <w:rsid w:val="0035007B"/>
    <w:rsid w:val="00362723"/>
    <w:rsid w:val="00362B7B"/>
    <w:rsid w:val="00363427"/>
    <w:rsid w:val="00363702"/>
    <w:rsid w:val="00370141"/>
    <w:rsid w:val="00371B1F"/>
    <w:rsid w:val="0037560D"/>
    <w:rsid w:val="00381F8B"/>
    <w:rsid w:val="0039333E"/>
    <w:rsid w:val="003A7310"/>
    <w:rsid w:val="003A7648"/>
    <w:rsid w:val="003B4575"/>
    <w:rsid w:val="003B56CE"/>
    <w:rsid w:val="003D3174"/>
    <w:rsid w:val="003D37B5"/>
    <w:rsid w:val="003E0674"/>
    <w:rsid w:val="003F37C5"/>
    <w:rsid w:val="00410A0E"/>
    <w:rsid w:val="00410F51"/>
    <w:rsid w:val="00412C48"/>
    <w:rsid w:val="00415572"/>
    <w:rsid w:val="00430E3C"/>
    <w:rsid w:val="00433C3A"/>
    <w:rsid w:val="00445105"/>
    <w:rsid w:val="004529FC"/>
    <w:rsid w:val="00455C58"/>
    <w:rsid w:val="00456683"/>
    <w:rsid w:val="0046080E"/>
    <w:rsid w:val="0047186A"/>
    <w:rsid w:val="00475E45"/>
    <w:rsid w:val="00476F59"/>
    <w:rsid w:val="00480487"/>
    <w:rsid w:val="004842B9"/>
    <w:rsid w:val="004847E5"/>
    <w:rsid w:val="0048576D"/>
    <w:rsid w:val="00487855"/>
    <w:rsid w:val="00495C7E"/>
    <w:rsid w:val="004979AF"/>
    <w:rsid w:val="004A5AAE"/>
    <w:rsid w:val="004A6454"/>
    <w:rsid w:val="004A7B69"/>
    <w:rsid w:val="004B2109"/>
    <w:rsid w:val="004B3629"/>
    <w:rsid w:val="004C1DC4"/>
    <w:rsid w:val="004C76A8"/>
    <w:rsid w:val="004D28D1"/>
    <w:rsid w:val="004D415A"/>
    <w:rsid w:val="004F4209"/>
    <w:rsid w:val="00506097"/>
    <w:rsid w:val="005107A2"/>
    <w:rsid w:val="005203F0"/>
    <w:rsid w:val="005204BC"/>
    <w:rsid w:val="00526009"/>
    <w:rsid w:val="0054048E"/>
    <w:rsid w:val="005420A8"/>
    <w:rsid w:val="0054401D"/>
    <w:rsid w:val="00545317"/>
    <w:rsid w:val="005501A9"/>
    <w:rsid w:val="005515A2"/>
    <w:rsid w:val="00552C6B"/>
    <w:rsid w:val="005556A2"/>
    <w:rsid w:val="00557863"/>
    <w:rsid w:val="00564F47"/>
    <w:rsid w:val="0058696B"/>
    <w:rsid w:val="00591CEE"/>
    <w:rsid w:val="00594AF4"/>
    <w:rsid w:val="005B0034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E17FC"/>
    <w:rsid w:val="005F1F59"/>
    <w:rsid w:val="00600058"/>
    <w:rsid w:val="0060157A"/>
    <w:rsid w:val="006038B6"/>
    <w:rsid w:val="00604EA7"/>
    <w:rsid w:val="006147B9"/>
    <w:rsid w:val="00615A81"/>
    <w:rsid w:val="0062003A"/>
    <w:rsid w:val="00633154"/>
    <w:rsid w:val="00633887"/>
    <w:rsid w:val="00642A9D"/>
    <w:rsid w:val="00651475"/>
    <w:rsid w:val="00655A46"/>
    <w:rsid w:val="00655D34"/>
    <w:rsid w:val="0066535D"/>
    <w:rsid w:val="00667D45"/>
    <w:rsid w:val="00681D7E"/>
    <w:rsid w:val="0068260E"/>
    <w:rsid w:val="0068687E"/>
    <w:rsid w:val="00696784"/>
    <w:rsid w:val="006A3312"/>
    <w:rsid w:val="006A76A2"/>
    <w:rsid w:val="006A78E2"/>
    <w:rsid w:val="006B2A93"/>
    <w:rsid w:val="006B545E"/>
    <w:rsid w:val="006B5A60"/>
    <w:rsid w:val="006B7DFA"/>
    <w:rsid w:val="006C27C2"/>
    <w:rsid w:val="006C5F4E"/>
    <w:rsid w:val="006C6588"/>
    <w:rsid w:val="006D0577"/>
    <w:rsid w:val="006D1F43"/>
    <w:rsid w:val="006E374E"/>
    <w:rsid w:val="006E5D2A"/>
    <w:rsid w:val="006F359E"/>
    <w:rsid w:val="00702100"/>
    <w:rsid w:val="0071025C"/>
    <w:rsid w:val="00713910"/>
    <w:rsid w:val="007219EC"/>
    <w:rsid w:val="007271F4"/>
    <w:rsid w:val="00733E62"/>
    <w:rsid w:val="0074347C"/>
    <w:rsid w:val="00745645"/>
    <w:rsid w:val="0074728C"/>
    <w:rsid w:val="00754F3E"/>
    <w:rsid w:val="00761D3E"/>
    <w:rsid w:val="00781D61"/>
    <w:rsid w:val="0079393C"/>
    <w:rsid w:val="00793E27"/>
    <w:rsid w:val="00797D5B"/>
    <w:rsid w:val="007A2FA4"/>
    <w:rsid w:val="007B0BAE"/>
    <w:rsid w:val="007B4994"/>
    <w:rsid w:val="007C45CC"/>
    <w:rsid w:val="007D07C4"/>
    <w:rsid w:val="007D4B1E"/>
    <w:rsid w:val="007D7CE9"/>
    <w:rsid w:val="007E41D4"/>
    <w:rsid w:val="007E69ED"/>
    <w:rsid w:val="007F0041"/>
    <w:rsid w:val="007F3B56"/>
    <w:rsid w:val="007F7A59"/>
    <w:rsid w:val="00804A98"/>
    <w:rsid w:val="008131CC"/>
    <w:rsid w:val="00821A1E"/>
    <w:rsid w:val="00824B49"/>
    <w:rsid w:val="00824CB0"/>
    <w:rsid w:val="00825676"/>
    <w:rsid w:val="00831620"/>
    <w:rsid w:val="00835662"/>
    <w:rsid w:val="00835C44"/>
    <w:rsid w:val="0083735A"/>
    <w:rsid w:val="008478B5"/>
    <w:rsid w:val="00853740"/>
    <w:rsid w:val="00860ECD"/>
    <w:rsid w:val="00867399"/>
    <w:rsid w:val="008947B8"/>
    <w:rsid w:val="00894944"/>
    <w:rsid w:val="0089503C"/>
    <w:rsid w:val="008A0367"/>
    <w:rsid w:val="008A04C9"/>
    <w:rsid w:val="008A1BF8"/>
    <w:rsid w:val="008B7F12"/>
    <w:rsid w:val="008C5A6B"/>
    <w:rsid w:val="008D513F"/>
    <w:rsid w:val="008D5276"/>
    <w:rsid w:val="008E26A5"/>
    <w:rsid w:val="008E5D9C"/>
    <w:rsid w:val="008E7605"/>
    <w:rsid w:val="008F4E50"/>
    <w:rsid w:val="008F4FDD"/>
    <w:rsid w:val="008F5E03"/>
    <w:rsid w:val="009005C4"/>
    <w:rsid w:val="009036B3"/>
    <w:rsid w:val="00911D48"/>
    <w:rsid w:val="009144E1"/>
    <w:rsid w:val="009146D1"/>
    <w:rsid w:val="00920139"/>
    <w:rsid w:val="00920F3A"/>
    <w:rsid w:val="0094148A"/>
    <w:rsid w:val="00951F5D"/>
    <w:rsid w:val="00953728"/>
    <w:rsid w:val="00953FF2"/>
    <w:rsid w:val="0095435D"/>
    <w:rsid w:val="00956266"/>
    <w:rsid w:val="00960F49"/>
    <w:rsid w:val="00965820"/>
    <w:rsid w:val="009663CE"/>
    <w:rsid w:val="00966BF2"/>
    <w:rsid w:val="00983B16"/>
    <w:rsid w:val="00983F08"/>
    <w:rsid w:val="009877F6"/>
    <w:rsid w:val="009A0AC3"/>
    <w:rsid w:val="009A1E26"/>
    <w:rsid w:val="009B2C9B"/>
    <w:rsid w:val="009C052B"/>
    <w:rsid w:val="009C2C63"/>
    <w:rsid w:val="009D009D"/>
    <w:rsid w:val="009D5C98"/>
    <w:rsid w:val="009D7C46"/>
    <w:rsid w:val="009E10B3"/>
    <w:rsid w:val="009E6F83"/>
    <w:rsid w:val="009E73F4"/>
    <w:rsid w:val="009F32E8"/>
    <w:rsid w:val="009F5C61"/>
    <w:rsid w:val="00A01764"/>
    <w:rsid w:val="00A05433"/>
    <w:rsid w:val="00A12058"/>
    <w:rsid w:val="00A4159B"/>
    <w:rsid w:val="00A5254B"/>
    <w:rsid w:val="00A63C20"/>
    <w:rsid w:val="00A64429"/>
    <w:rsid w:val="00A66E0C"/>
    <w:rsid w:val="00A671C5"/>
    <w:rsid w:val="00A76A93"/>
    <w:rsid w:val="00A82875"/>
    <w:rsid w:val="00A84CBE"/>
    <w:rsid w:val="00A85737"/>
    <w:rsid w:val="00A96ED1"/>
    <w:rsid w:val="00AA3C75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5FFF"/>
    <w:rsid w:val="00AF7BEB"/>
    <w:rsid w:val="00B114E7"/>
    <w:rsid w:val="00B15EDE"/>
    <w:rsid w:val="00B21974"/>
    <w:rsid w:val="00B26E30"/>
    <w:rsid w:val="00B31DB6"/>
    <w:rsid w:val="00B325F1"/>
    <w:rsid w:val="00B34D73"/>
    <w:rsid w:val="00B65DC2"/>
    <w:rsid w:val="00B66895"/>
    <w:rsid w:val="00B671BF"/>
    <w:rsid w:val="00B714A5"/>
    <w:rsid w:val="00B83031"/>
    <w:rsid w:val="00B85495"/>
    <w:rsid w:val="00B916AE"/>
    <w:rsid w:val="00B935DA"/>
    <w:rsid w:val="00B96917"/>
    <w:rsid w:val="00B97614"/>
    <w:rsid w:val="00BB1EF0"/>
    <w:rsid w:val="00BB37CD"/>
    <w:rsid w:val="00BC361C"/>
    <w:rsid w:val="00BC3ED7"/>
    <w:rsid w:val="00BD4B48"/>
    <w:rsid w:val="00BD6153"/>
    <w:rsid w:val="00BF58CB"/>
    <w:rsid w:val="00C00689"/>
    <w:rsid w:val="00C02E02"/>
    <w:rsid w:val="00C0581A"/>
    <w:rsid w:val="00C133B5"/>
    <w:rsid w:val="00C14966"/>
    <w:rsid w:val="00C21865"/>
    <w:rsid w:val="00C21DBC"/>
    <w:rsid w:val="00C275BE"/>
    <w:rsid w:val="00C30F2D"/>
    <w:rsid w:val="00C30F30"/>
    <w:rsid w:val="00C4155F"/>
    <w:rsid w:val="00C43D19"/>
    <w:rsid w:val="00C51B3F"/>
    <w:rsid w:val="00C5236D"/>
    <w:rsid w:val="00C57B92"/>
    <w:rsid w:val="00C614EA"/>
    <w:rsid w:val="00C62C17"/>
    <w:rsid w:val="00C660A8"/>
    <w:rsid w:val="00C66F03"/>
    <w:rsid w:val="00C7220A"/>
    <w:rsid w:val="00C75E57"/>
    <w:rsid w:val="00C77541"/>
    <w:rsid w:val="00C809DB"/>
    <w:rsid w:val="00C81E32"/>
    <w:rsid w:val="00C84847"/>
    <w:rsid w:val="00C96CDF"/>
    <w:rsid w:val="00CA1937"/>
    <w:rsid w:val="00CA2ABA"/>
    <w:rsid w:val="00CB28DB"/>
    <w:rsid w:val="00CC70E1"/>
    <w:rsid w:val="00CD3836"/>
    <w:rsid w:val="00CD63D6"/>
    <w:rsid w:val="00CD6E83"/>
    <w:rsid w:val="00CE06F1"/>
    <w:rsid w:val="00CE33B2"/>
    <w:rsid w:val="00CF3379"/>
    <w:rsid w:val="00D00B89"/>
    <w:rsid w:val="00D100B7"/>
    <w:rsid w:val="00D161DA"/>
    <w:rsid w:val="00D16546"/>
    <w:rsid w:val="00D20431"/>
    <w:rsid w:val="00D22047"/>
    <w:rsid w:val="00D24BFC"/>
    <w:rsid w:val="00D35BDF"/>
    <w:rsid w:val="00D43ACA"/>
    <w:rsid w:val="00D4611B"/>
    <w:rsid w:val="00D4721A"/>
    <w:rsid w:val="00D4724A"/>
    <w:rsid w:val="00D504AC"/>
    <w:rsid w:val="00D60611"/>
    <w:rsid w:val="00D63431"/>
    <w:rsid w:val="00D6545D"/>
    <w:rsid w:val="00D70131"/>
    <w:rsid w:val="00D83E55"/>
    <w:rsid w:val="00D91037"/>
    <w:rsid w:val="00D9383E"/>
    <w:rsid w:val="00D97047"/>
    <w:rsid w:val="00DA3022"/>
    <w:rsid w:val="00DA5FE2"/>
    <w:rsid w:val="00DB009A"/>
    <w:rsid w:val="00DB1E90"/>
    <w:rsid w:val="00DB2084"/>
    <w:rsid w:val="00DB20A5"/>
    <w:rsid w:val="00DB63E7"/>
    <w:rsid w:val="00DB69A9"/>
    <w:rsid w:val="00DC0FC7"/>
    <w:rsid w:val="00DC7A7E"/>
    <w:rsid w:val="00DC7F63"/>
    <w:rsid w:val="00DD1C62"/>
    <w:rsid w:val="00DD3C11"/>
    <w:rsid w:val="00DD55E4"/>
    <w:rsid w:val="00DE3AF2"/>
    <w:rsid w:val="00DF4BFE"/>
    <w:rsid w:val="00DF688C"/>
    <w:rsid w:val="00E05B59"/>
    <w:rsid w:val="00E101F1"/>
    <w:rsid w:val="00E10BC3"/>
    <w:rsid w:val="00E174E1"/>
    <w:rsid w:val="00E178BE"/>
    <w:rsid w:val="00E25BD4"/>
    <w:rsid w:val="00E27E1E"/>
    <w:rsid w:val="00E27EA1"/>
    <w:rsid w:val="00E31B0E"/>
    <w:rsid w:val="00E46FCA"/>
    <w:rsid w:val="00E579EE"/>
    <w:rsid w:val="00E62688"/>
    <w:rsid w:val="00E8061A"/>
    <w:rsid w:val="00E910CF"/>
    <w:rsid w:val="00EC4775"/>
    <w:rsid w:val="00ED30B9"/>
    <w:rsid w:val="00EE0ADA"/>
    <w:rsid w:val="00EE0B81"/>
    <w:rsid w:val="00EE3A06"/>
    <w:rsid w:val="00EF01AB"/>
    <w:rsid w:val="00EF0FE0"/>
    <w:rsid w:val="00F00B8A"/>
    <w:rsid w:val="00F028E3"/>
    <w:rsid w:val="00F10880"/>
    <w:rsid w:val="00F11802"/>
    <w:rsid w:val="00F161FF"/>
    <w:rsid w:val="00F16F1E"/>
    <w:rsid w:val="00F22488"/>
    <w:rsid w:val="00F25662"/>
    <w:rsid w:val="00F25AA2"/>
    <w:rsid w:val="00F3589A"/>
    <w:rsid w:val="00F44F70"/>
    <w:rsid w:val="00F5308E"/>
    <w:rsid w:val="00F66097"/>
    <w:rsid w:val="00F77063"/>
    <w:rsid w:val="00F8075F"/>
    <w:rsid w:val="00F81EF5"/>
    <w:rsid w:val="00F83691"/>
    <w:rsid w:val="00FA6919"/>
    <w:rsid w:val="00FB200A"/>
    <w:rsid w:val="00FB373F"/>
    <w:rsid w:val="00FB4538"/>
    <w:rsid w:val="00FB76D3"/>
    <w:rsid w:val="00FC2890"/>
    <w:rsid w:val="00FC59CA"/>
    <w:rsid w:val="00FC63DB"/>
    <w:rsid w:val="00FD04CF"/>
    <w:rsid w:val="00FD084F"/>
    <w:rsid w:val="00FD7E1D"/>
    <w:rsid w:val="00FE04E2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ios.adsef.pr.gov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Folleto%20Programa%20Asistencia%20al%20Deambulante-Soup%20Kitchen/Folleto%20Programa%20Asistencia%20al%20Deambulante-Soup%20Kitchen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BB97-C96B-4EA1-937D-D948567B5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9F890-D4C1-4B1F-96D7-8EE4B3349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1C8A6-AE02-46FE-B971-EFBD8A6FB8D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28FF68E-4ADB-4DE4-8321-C9EFE82D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y Requisitos Relacionado al Programa de Distribución de Alimentos de Asistencia al Deambulante (Soup Kitchen)</vt:lpstr>
    </vt:vector>
  </TitlesOfParts>
  <Company>Toshiba</Company>
  <LinksUpToDate>false</LinksUpToDate>
  <CharactersWithSpaces>4197</CharactersWithSpaces>
  <SharedDoc>false</SharedDoc>
  <HLinks>
    <vt:vector size="24" baseType="variant">
      <vt:variant>
        <vt:i4>1507340</vt:i4>
      </vt:variant>
      <vt:variant>
        <vt:i4>9</vt:i4>
      </vt:variant>
      <vt:variant>
        <vt:i4>0</vt:i4>
      </vt:variant>
      <vt:variant>
        <vt:i4>5</vt:i4>
      </vt:variant>
      <vt:variant>
        <vt:lpwstr>http://ac311-bdc.ac311.local/gsa311/dev311/ADSEF-127/Programa Asistencia al Deambulante-Soup Kitchen.pdf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C:\Users\atorres\AppData\Local\Temp\Rar$DIa0.192\DIRECTORIO OFICINAS  REGIONALES  Y LOCALES.doc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y Requisitos Relacionado al Programa de Distribución de Alimentos de Asistencia al Deambulante (Soup Kitchen)</dc:title>
  <dc:subject>Información General</dc:subject>
  <dc:creator>3-1-1 Tu Línea de Servicios de Gobierno</dc:creator>
  <cp:keywords>ADSEF</cp:keywords>
  <cp:lastModifiedBy>respondadmin</cp:lastModifiedBy>
  <cp:revision>8</cp:revision>
  <cp:lastPrinted>2012-09-17T20:30:00Z</cp:lastPrinted>
  <dcterms:created xsi:type="dcterms:W3CDTF">2012-11-02T15:28:00Z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