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034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E69F3D3" wp14:editId="31BBA9C3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EF0C2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EF0C2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  <w:r w:rsidR="00EF0C28" w:rsidRPr="00EF0C28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6A5C1B" w:rsidRPr="002241F3" w:rsidRDefault="00B051D6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Reportar el uso negligente o inapropiado de un vehículo de gobierno.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2241F3" w:rsidRDefault="00B051D6" w:rsidP="00B051D6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Ciudadanos que entiendan que el conductor de un vehículo oficial del gobierno realizó un acto que puede catalogarse como negligente o inapropiado.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D70F445" wp14:editId="3157C45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1C6CF5" w:rsidRPr="001C6CF5" w:rsidRDefault="001C6CF5" w:rsidP="001C6CF5">
      <w:pPr>
        <w:pStyle w:val="NormalWeb"/>
        <w:numPr>
          <w:ilvl w:val="0"/>
          <w:numId w:val="3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E7145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 adicional, y de ser necesario, solicitar asesoría de un especialista. Tu Línea de Servicios de Gobierno 3-1-1 no está autorizada a ofrecer ningún tipo de asesoría, completar solicitudes y/o formularios a nombre del ciudadano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p w:rsidR="0014766A" w:rsidRDefault="00B051D6" w:rsidP="00B051D6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brindará </w:t>
      </w:r>
      <w:r w:rsidRPr="00C75B2E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seguimiento</w:t>
      </w:r>
      <w:r w:rsidR="009952E2" w:rsidRPr="009952E2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</w:t>
      </w:r>
      <w:r w:rsidR="009952E2" w:rsidRPr="00C75B2E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exclusivamente</w:t>
      </w:r>
      <w:r w:rsidRPr="00C75B2E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a casos creados a través del Sistema del Servicio 3-1-1</w:t>
      </w:r>
      <w:r w:rsidR="00C75B2E">
        <w:rPr>
          <w:rFonts w:asciiTheme="minorHAnsi" w:hAnsiTheme="minorHAnsi" w:cs="Arial"/>
          <w:color w:val="000000"/>
          <w:sz w:val="22"/>
          <w:szCs w:val="22"/>
          <w:lang w:val="es-PR"/>
        </w:rPr>
        <w:t>, de lo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contrario se le notificará al ciudadano que deberá visitar o </w:t>
      </w:r>
      <w:r w:rsidR="00C75B2E">
        <w:rPr>
          <w:rFonts w:asciiTheme="minorHAnsi" w:hAnsiTheme="minorHAnsi" w:cs="Arial"/>
          <w:color w:val="000000"/>
          <w:sz w:val="22"/>
          <w:szCs w:val="22"/>
          <w:lang w:val="es-PR"/>
        </w:rPr>
        <w:t>comunicarse con la oficina de la Administración de Servicios Generales (ASG).</w:t>
      </w:r>
    </w:p>
    <w:p w:rsidR="00D044C8" w:rsidRDefault="00C75B2E" w:rsidP="00D044C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Si el querellante desea que su querella sea anónima, se le orientará que en el futuro no podrá solicitar estatus de su querella.</w:t>
      </w:r>
    </w:p>
    <w:p w:rsidR="008F34D6" w:rsidRDefault="00D044C8" w:rsidP="00D044C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C75B2E">
        <w:rPr>
          <w:rFonts w:asciiTheme="minorHAnsi" w:hAnsiTheme="minorHAnsi" w:cs="Arial"/>
          <w:color w:val="000000"/>
          <w:sz w:val="22"/>
          <w:szCs w:val="22"/>
          <w:lang w:val="es-PR"/>
        </w:rPr>
        <w:t>El operador del 3-1-1 NO está autoriza</w:t>
      </w:r>
      <w:r w:rsidR="00D213A1">
        <w:rPr>
          <w:rFonts w:asciiTheme="minorHAnsi" w:hAnsiTheme="minorHAnsi" w:cs="Arial"/>
          <w:color w:val="000000"/>
          <w:sz w:val="22"/>
          <w:szCs w:val="22"/>
          <w:lang w:val="es-PR"/>
        </w:rPr>
        <w:t>do a completar solicitudes y/o formularios a nombre del ciudadano.</w:t>
      </w:r>
    </w:p>
    <w:p w:rsidR="00D213A1" w:rsidRDefault="00D213A1" w:rsidP="00EF0C28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operador del 3-1-1 puede crear un referido a las personas que llamen interesados en radicar una querella por mal uso de un vehículo de gobierno.  Se debe incluir la información solicitada en el área de requ</w:t>
      </w:r>
      <w:r w:rsidR="00EF0C28">
        <w:rPr>
          <w:rFonts w:asciiTheme="minorHAnsi" w:hAnsiTheme="minorHAnsi" w:cs="Arial"/>
          <w:color w:val="000000"/>
          <w:sz w:val="22"/>
          <w:szCs w:val="22"/>
          <w:lang w:val="es-PR"/>
        </w:rPr>
        <w:t>isitos para obtener el servicio.</w:t>
      </w:r>
    </w:p>
    <w:p w:rsidR="00A32A97" w:rsidRPr="00547E2A" w:rsidRDefault="00222C77" w:rsidP="00EF0C28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El operador del 3-1-1 podrá crear un referido e</w:t>
      </w:r>
      <w:r w:rsidR="00A32A97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 los casos que un ciudadano llame y quiera reportar un vehículo con tablilla </w:t>
      </w:r>
      <w:r w:rsidR="002F1D9C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766852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statal o de la Rama Ejecutiva</w:t>
      </w:r>
      <w:r w:rsidR="002F1D9C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766852" w:rsidRPr="00547E2A" w:rsidRDefault="00766852" w:rsidP="00EF0C28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operador del 3-1-1 </w:t>
      </w:r>
      <w:r w:rsidRPr="00547E2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NO </w:t>
      </w:r>
      <w:r w:rsidR="00EF034A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podrá</w:t>
      </w:r>
      <w:r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crear un referido en los casos que un ciudadano llame y quiera reportar un </w:t>
      </w:r>
      <w:r w:rsidR="00EF034A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vehículo</w:t>
      </w:r>
      <w:r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tablilla</w:t>
      </w:r>
      <w:r w:rsidR="00A64944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corporativa, federal</w:t>
      </w:r>
      <w:r w:rsidR="002F1D9C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, legislativa o m</w:t>
      </w:r>
      <w:r w:rsidR="00EF034A" w:rsidRPr="00547E2A">
        <w:rPr>
          <w:rFonts w:asciiTheme="minorHAnsi" w:hAnsiTheme="minorHAnsi" w:cs="Arial"/>
          <w:color w:val="000000"/>
          <w:sz w:val="22"/>
          <w:szCs w:val="22"/>
          <w:lang w:val="es-PR"/>
        </w:rPr>
        <w:t>unicipal.</w:t>
      </w:r>
    </w:p>
    <w:p w:rsidR="00D0348B" w:rsidRDefault="00D0348B" w:rsidP="00D0348B">
      <w:pPr>
        <w:jc w:val="center"/>
        <w:rPr>
          <w:b/>
          <w:sz w:val="32"/>
          <w:szCs w:val="32"/>
        </w:rPr>
      </w:pPr>
      <w:r w:rsidRPr="00D0348B">
        <w:rPr>
          <w:b/>
          <w:sz w:val="32"/>
          <w:szCs w:val="32"/>
        </w:rPr>
        <w:t>Tabla</w:t>
      </w:r>
      <w:r w:rsidRPr="00EC67C8">
        <w:rPr>
          <w:b/>
          <w:sz w:val="32"/>
          <w:szCs w:val="32"/>
        </w:rPr>
        <w:t xml:space="preserve"> de </w:t>
      </w:r>
      <w:r w:rsidRPr="00D0348B">
        <w:rPr>
          <w:b/>
          <w:sz w:val="32"/>
          <w:szCs w:val="32"/>
        </w:rPr>
        <w:t>Identificación</w:t>
      </w:r>
      <w:r w:rsidRPr="00EC67C8">
        <w:rPr>
          <w:b/>
          <w:sz w:val="32"/>
          <w:szCs w:val="32"/>
        </w:rPr>
        <w:t xml:space="preserve"> de Tablillas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240"/>
        <w:gridCol w:w="2984"/>
      </w:tblGrid>
      <w:tr w:rsidR="00D0348B" w:rsidTr="00B368EB">
        <w:tc>
          <w:tcPr>
            <w:tcW w:w="3352" w:type="dxa"/>
            <w:shd w:val="clear" w:color="auto" w:fill="C6D9F1" w:themeFill="text2" w:themeFillTint="33"/>
          </w:tcPr>
          <w:p w:rsidR="00D0348B" w:rsidRPr="00CE4AB6" w:rsidRDefault="00D0348B" w:rsidP="00D4279E">
            <w:pPr>
              <w:jc w:val="center"/>
              <w:rPr>
                <w:b/>
                <w:sz w:val="28"/>
                <w:szCs w:val="28"/>
              </w:rPr>
            </w:pPr>
            <w:r w:rsidRPr="00CE4AB6">
              <w:rPr>
                <w:b/>
                <w:sz w:val="28"/>
                <w:szCs w:val="28"/>
              </w:rPr>
              <w:t>División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D0348B" w:rsidRPr="00CE4AB6" w:rsidRDefault="00D0348B" w:rsidP="00D4279E">
            <w:pPr>
              <w:jc w:val="center"/>
              <w:rPr>
                <w:b/>
                <w:sz w:val="28"/>
                <w:szCs w:val="28"/>
              </w:rPr>
            </w:pPr>
            <w:r w:rsidRPr="00CE4AB6">
              <w:rPr>
                <w:b/>
                <w:sz w:val="28"/>
                <w:szCs w:val="28"/>
              </w:rPr>
              <w:t>Siglas</w:t>
            </w:r>
          </w:p>
        </w:tc>
        <w:tc>
          <w:tcPr>
            <w:tcW w:w="2984" w:type="dxa"/>
            <w:shd w:val="clear" w:color="auto" w:fill="C6D9F1" w:themeFill="text2" w:themeFillTint="33"/>
          </w:tcPr>
          <w:p w:rsidR="00D0348B" w:rsidRPr="00CE4AB6" w:rsidRDefault="00D0348B" w:rsidP="00D42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Referido</w:t>
            </w:r>
          </w:p>
        </w:tc>
      </w:tr>
      <w:tr w:rsidR="00D0348B" w:rsidTr="00D4279E">
        <w:tc>
          <w:tcPr>
            <w:tcW w:w="3352" w:type="dxa"/>
          </w:tcPr>
          <w:p w:rsidR="00D0348B" w:rsidRDefault="00D0348B" w:rsidP="0024611E">
            <w:pPr>
              <w:jc w:val="center"/>
            </w:pPr>
            <w:r>
              <w:t>Gobierno Estatal</w:t>
            </w:r>
          </w:p>
        </w:tc>
        <w:tc>
          <w:tcPr>
            <w:tcW w:w="3240" w:type="dxa"/>
          </w:tcPr>
          <w:p w:rsidR="00D0348B" w:rsidRDefault="00D0348B" w:rsidP="0024611E">
            <w:pPr>
              <w:jc w:val="center"/>
            </w:pPr>
            <w:r>
              <w:t>GE</w:t>
            </w:r>
          </w:p>
        </w:tc>
        <w:tc>
          <w:tcPr>
            <w:tcW w:w="2984" w:type="dxa"/>
          </w:tcPr>
          <w:p w:rsidR="00D0348B" w:rsidRDefault="00D0348B" w:rsidP="0024611E">
            <w:pPr>
              <w:jc w:val="center"/>
            </w:pPr>
            <w:r>
              <w:t>Si</w:t>
            </w:r>
          </w:p>
        </w:tc>
      </w:tr>
      <w:tr w:rsidR="00D0348B" w:rsidTr="00D4279E">
        <w:tc>
          <w:tcPr>
            <w:tcW w:w="3352" w:type="dxa"/>
          </w:tcPr>
          <w:p w:rsidR="00D0348B" w:rsidRDefault="00D0348B" w:rsidP="0024611E">
            <w:pPr>
              <w:jc w:val="center"/>
            </w:pPr>
            <w:r>
              <w:t>Gobierno Municipal</w:t>
            </w:r>
          </w:p>
        </w:tc>
        <w:tc>
          <w:tcPr>
            <w:tcW w:w="3240" w:type="dxa"/>
          </w:tcPr>
          <w:p w:rsidR="00D0348B" w:rsidRDefault="00D0348B" w:rsidP="0024611E">
            <w:pPr>
              <w:jc w:val="center"/>
            </w:pPr>
            <w:r>
              <w:t>MU</w:t>
            </w:r>
          </w:p>
        </w:tc>
        <w:tc>
          <w:tcPr>
            <w:tcW w:w="2984" w:type="dxa"/>
          </w:tcPr>
          <w:p w:rsidR="00D0348B" w:rsidRDefault="00D0348B" w:rsidP="0024611E">
            <w:pPr>
              <w:jc w:val="center"/>
            </w:pPr>
            <w:r>
              <w:t>No</w:t>
            </w:r>
          </w:p>
        </w:tc>
      </w:tr>
      <w:tr w:rsidR="00D0348B" w:rsidTr="00D4279E">
        <w:tc>
          <w:tcPr>
            <w:tcW w:w="3352" w:type="dxa"/>
          </w:tcPr>
          <w:p w:rsidR="00D0348B" w:rsidRDefault="00D0348B" w:rsidP="0024611E">
            <w:pPr>
              <w:jc w:val="center"/>
            </w:pPr>
            <w:r>
              <w:t>Gobierno Federal</w:t>
            </w:r>
          </w:p>
        </w:tc>
        <w:tc>
          <w:tcPr>
            <w:tcW w:w="3240" w:type="dxa"/>
          </w:tcPr>
          <w:p w:rsidR="00D0348B" w:rsidRDefault="00D0348B" w:rsidP="0024611E">
            <w:pPr>
              <w:jc w:val="center"/>
            </w:pPr>
            <w:r>
              <w:t>Gs</w:t>
            </w:r>
          </w:p>
        </w:tc>
        <w:tc>
          <w:tcPr>
            <w:tcW w:w="2984" w:type="dxa"/>
          </w:tcPr>
          <w:p w:rsidR="00D0348B" w:rsidRDefault="00D0348B" w:rsidP="0024611E">
            <w:pPr>
              <w:jc w:val="center"/>
            </w:pPr>
            <w:r>
              <w:t>No</w:t>
            </w:r>
          </w:p>
        </w:tc>
      </w:tr>
      <w:tr w:rsidR="00D0348B" w:rsidTr="00D4279E">
        <w:tc>
          <w:tcPr>
            <w:tcW w:w="3352" w:type="dxa"/>
          </w:tcPr>
          <w:p w:rsidR="00D0348B" w:rsidRDefault="00D0348B" w:rsidP="0024611E">
            <w:pPr>
              <w:jc w:val="center"/>
            </w:pPr>
            <w:r>
              <w:t>Judicial</w:t>
            </w:r>
          </w:p>
        </w:tc>
        <w:tc>
          <w:tcPr>
            <w:tcW w:w="3240" w:type="dxa"/>
          </w:tcPr>
          <w:p w:rsidR="00D0348B" w:rsidRDefault="00D0348B" w:rsidP="0024611E">
            <w:pPr>
              <w:jc w:val="center"/>
            </w:pPr>
            <w:r>
              <w:t>GE</w:t>
            </w:r>
          </w:p>
        </w:tc>
        <w:tc>
          <w:tcPr>
            <w:tcW w:w="2984" w:type="dxa"/>
          </w:tcPr>
          <w:p w:rsidR="00D0348B" w:rsidRPr="007B3D7D" w:rsidRDefault="00FA10A6" w:rsidP="0024611E">
            <w:pPr>
              <w:jc w:val="center"/>
            </w:pPr>
            <w:r>
              <w:t>Si</w:t>
            </w:r>
          </w:p>
        </w:tc>
      </w:tr>
    </w:tbl>
    <w:p w:rsidR="00B368EB" w:rsidRDefault="00B368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240"/>
        <w:gridCol w:w="2984"/>
      </w:tblGrid>
      <w:tr w:rsidR="00D0348B" w:rsidTr="00D4279E">
        <w:tc>
          <w:tcPr>
            <w:tcW w:w="3352" w:type="dxa"/>
          </w:tcPr>
          <w:p w:rsidR="00D0348B" w:rsidRDefault="00D0348B" w:rsidP="0024611E">
            <w:pPr>
              <w:jc w:val="center"/>
            </w:pPr>
            <w:r>
              <w:lastRenderedPageBreak/>
              <w:t>Legislativo</w:t>
            </w:r>
          </w:p>
        </w:tc>
        <w:tc>
          <w:tcPr>
            <w:tcW w:w="3240" w:type="dxa"/>
          </w:tcPr>
          <w:p w:rsidR="00D0348B" w:rsidRPr="00D0348B" w:rsidRDefault="00D0348B" w:rsidP="0024611E">
            <w:pPr>
              <w:jc w:val="center"/>
              <w:rPr>
                <w:lang w:val="es-ES"/>
              </w:rPr>
            </w:pPr>
            <w:r w:rsidRPr="00D0348B">
              <w:rPr>
                <w:lang w:val="es-ES"/>
              </w:rPr>
              <w:t>Un numero corresponde al Distrito Senatorial</w:t>
            </w:r>
          </w:p>
        </w:tc>
        <w:tc>
          <w:tcPr>
            <w:tcW w:w="2984" w:type="dxa"/>
          </w:tcPr>
          <w:p w:rsidR="00D0348B" w:rsidRDefault="00D0348B" w:rsidP="0024611E">
            <w:pPr>
              <w:jc w:val="center"/>
            </w:pPr>
            <w:r>
              <w:t>No</w:t>
            </w:r>
          </w:p>
        </w:tc>
      </w:tr>
      <w:tr w:rsidR="00D0348B" w:rsidTr="00D4279E">
        <w:tc>
          <w:tcPr>
            <w:tcW w:w="3352" w:type="dxa"/>
          </w:tcPr>
          <w:p w:rsidR="00D0348B" w:rsidRDefault="00D0348B" w:rsidP="0024611E">
            <w:pPr>
              <w:jc w:val="center"/>
            </w:pPr>
            <w:r>
              <w:t>Cónsul</w:t>
            </w:r>
          </w:p>
        </w:tc>
        <w:tc>
          <w:tcPr>
            <w:tcW w:w="3240" w:type="dxa"/>
          </w:tcPr>
          <w:p w:rsidR="00D0348B" w:rsidRPr="00D0348B" w:rsidRDefault="00D0348B" w:rsidP="0024611E">
            <w:pPr>
              <w:jc w:val="center"/>
              <w:rPr>
                <w:lang w:val="es-ES"/>
              </w:rPr>
            </w:pPr>
            <w:r w:rsidRPr="00D0348B">
              <w:rPr>
                <w:lang w:val="es-ES"/>
              </w:rPr>
              <w:t>Un numero y la Palabra Cónsul</w:t>
            </w:r>
          </w:p>
        </w:tc>
        <w:tc>
          <w:tcPr>
            <w:tcW w:w="2984" w:type="dxa"/>
          </w:tcPr>
          <w:p w:rsidR="00D0348B" w:rsidRDefault="00D0348B" w:rsidP="0024611E">
            <w:pPr>
              <w:jc w:val="center"/>
            </w:pPr>
            <w:r>
              <w:t>No</w:t>
            </w:r>
          </w:p>
        </w:tc>
      </w:tr>
    </w:tbl>
    <w:p w:rsidR="00D0348B" w:rsidRPr="00C068C0" w:rsidRDefault="00D0348B" w:rsidP="00D0348B">
      <w:pPr>
        <w:pStyle w:val="NormalWeb"/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highlight w:val="yellow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034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7132AC7" wp14:editId="455CE5BD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F0C28" w:rsidRPr="00EF0C28" w:rsidRDefault="006E69AE" w:rsidP="006C166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FF"/>
          <w:u w:val="single"/>
          <w:lang w:val="es-PR"/>
        </w:rPr>
      </w:pPr>
      <w:hyperlink r:id="rId16" w:history="1">
        <w:r w:rsidR="00EF0C28" w:rsidRPr="00B368EB">
          <w:rPr>
            <w:rStyle w:val="Hyperlink"/>
            <w:rFonts w:asciiTheme="minorHAnsi" w:hAnsiTheme="minorHAnsi" w:cs="Arial"/>
            <w:lang w:val="es-PR"/>
          </w:rPr>
          <w:t>Directorio de la Administración de Servicios Generales (ASG)</w:t>
        </w:r>
      </w:hyperlink>
    </w:p>
    <w:p w:rsidR="00DE184B" w:rsidRDefault="002241F3" w:rsidP="006C166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 w:rsidR="006C1662">
        <w:rPr>
          <w:rFonts w:asciiTheme="minorHAnsi" w:hAnsiTheme="minorHAnsi" w:cs="Arial"/>
          <w:b/>
          <w:color w:val="000000"/>
          <w:lang w:val="es-PR"/>
        </w:rPr>
        <w:tab/>
      </w:r>
      <w:r w:rsidR="00C75B2E" w:rsidRPr="00EF3D9A">
        <w:rPr>
          <w:rFonts w:asciiTheme="minorHAnsi" w:hAnsiTheme="minorHAnsi" w:cs="Arial"/>
          <w:color w:val="000000"/>
          <w:lang w:val="es-PR"/>
        </w:rPr>
        <w:t>Administración de Servicios Generales</w:t>
      </w:r>
    </w:p>
    <w:p w:rsidR="00212400" w:rsidRDefault="00D213A1" w:rsidP="006C166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ab/>
      </w:r>
      <w:r>
        <w:rPr>
          <w:rFonts w:asciiTheme="minorHAnsi" w:hAnsiTheme="minorHAnsi" w:cs="Arial"/>
          <w:b/>
          <w:color w:val="000000"/>
          <w:lang w:val="es-PR"/>
        </w:rPr>
        <w:tab/>
      </w:r>
      <w:r w:rsidRPr="00D213A1">
        <w:rPr>
          <w:rFonts w:asciiTheme="minorHAnsi" w:hAnsiTheme="minorHAnsi" w:cs="Arial"/>
          <w:color w:val="000000"/>
          <w:lang w:val="es-PR"/>
        </w:rPr>
        <w:t>Av</w:t>
      </w:r>
      <w:r w:rsidR="00DC7EEB">
        <w:rPr>
          <w:rFonts w:asciiTheme="minorHAnsi" w:hAnsiTheme="minorHAnsi" w:cs="Arial"/>
          <w:color w:val="000000"/>
          <w:lang w:val="es-PR"/>
        </w:rPr>
        <w:t xml:space="preserve">enida Barbosa </w:t>
      </w:r>
    </w:p>
    <w:p w:rsidR="00212400" w:rsidRDefault="00DC7EEB" w:rsidP="00212400">
      <w:pPr>
        <w:shd w:val="clear" w:color="auto" w:fill="FFFFFF"/>
        <w:spacing w:before="120" w:after="120" w:line="240" w:lineRule="auto"/>
        <w:ind w:left="720" w:firstLine="72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Esquina Quisqueya</w:t>
      </w:r>
    </w:p>
    <w:p w:rsidR="00D213A1" w:rsidRPr="00D213A1" w:rsidRDefault="00DC7EEB" w:rsidP="00212400">
      <w:pPr>
        <w:shd w:val="clear" w:color="auto" w:fill="FFFFFF"/>
        <w:spacing w:before="120" w:after="120" w:line="240" w:lineRule="auto"/>
        <w:ind w:left="1080" w:firstLine="360"/>
        <w:rPr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Hato Rey</w:t>
      </w:r>
      <w:r w:rsidR="00212400">
        <w:rPr>
          <w:rFonts w:asciiTheme="minorHAnsi" w:hAnsiTheme="minorHAnsi" w:cs="Arial"/>
          <w:color w:val="000000"/>
          <w:lang w:val="es-PR"/>
        </w:rPr>
        <w:t>, PR 00919</w:t>
      </w:r>
    </w:p>
    <w:p w:rsidR="00C26448" w:rsidRPr="00EF3D9A" w:rsidRDefault="002241F3" w:rsidP="006C166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EF3D9A">
        <w:rPr>
          <w:rFonts w:cs="Arial"/>
          <w:b/>
          <w:color w:val="000000"/>
          <w:lang w:val="es-PR"/>
        </w:rPr>
        <w:t>Horario:</w:t>
      </w:r>
      <w:r w:rsidR="006C1662" w:rsidRPr="00EF3D9A">
        <w:rPr>
          <w:rFonts w:cs="Arial"/>
          <w:color w:val="000000"/>
          <w:lang w:val="es-PR"/>
        </w:rPr>
        <w:tab/>
      </w:r>
      <w:r w:rsidR="00D213A1" w:rsidRPr="00EF3D9A">
        <w:rPr>
          <w:rFonts w:cs="Arial"/>
          <w:color w:val="000000"/>
          <w:lang w:val="es-PR"/>
        </w:rPr>
        <w:t xml:space="preserve">Lunes a Viernes </w:t>
      </w:r>
    </w:p>
    <w:p w:rsidR="00D213A1" w:rsidRPr="00212400" w:rsidRDefault="00D213A1" w:rsidP="006C166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ES"/>
        </w:rPr>
      </w:pPr>
      <w:r w:rsidRPr="00EF3D9A">
        <w:rPr>
          <w:rFonts w:cs="Arial"/>
          <w:b/>
          <w:color w:val="000000"/>
          <w:lang w:val="es-PR"/>
        </w:rPr>
        <w:tab/>
      </w:r>
      <w:r w:rsidRPr="00EF3D9A">
        <w:rPr>
          <w:rFonts w:cs="Arial"/>
          <w:b/>
          <w:color w:val="000000"/>
          <w:lang w:val="es-PR"/>
        </w:rPr>
        <w:tab/>
      </w:r>
      <w:r w:rsidR="00212400">
        <w:rPr>
          <w:rFonts w:cs="Arial"/>
          <w:color w:val="000000"/>
          <w:lang w:val="es-ES"/>
        </w:rPr>
        <w:t>7:3</w:t>
      </w:r>
      <w:r w:rsidRPr="00212400">
        <w:rPr>
          <w:rFonts w:cs="Arial"/>
          <w:color w:val="000000"/>
          <w:lang w:val="es-ES"/>
        </w:rPr>
        <w:t>0 am- 12:00 pm</w:t>
      </w:r>
    </w:p>
    <w:p w:rsidR="00D213A1" w:rsidRPr="00212400" w:rsidRDefault="00212400" w:rsidP="006C166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ab/>
      </w:r>
      <w:r>
        <w:rPr>
          <w:rFonts w:cs="Arial"/>
          <w:color w:val="000000"/>
          <w:lang w:val="es-ES"/>
        </w:rPr>
        <w:tab/>
        <w:t>1:00 pm- 4:00</w:t>
      </w:r>
      <w:r w:rsidR="00D213A1" w:rsidRPr="00212400">
        <w:rPr>
          <w:rFonts w:cs="Arial"/>
          <w:color w:val="000000"/>
          <w:lang w:val="es-ES"/>
        </w:rPr>
        <w:t xml:space="preserve"> pm</w:t>
      </w:r>
    </w:p>
    <w:p w:rsidR="00D213A1" w:rsidRPr="00212400" w:rsidRDefault="00706AE9" w:rsidP="00D213A1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ES"/>
        </w:rPr>
      </w:pPr>
      <w:r w:rsidRPr="00212400">
        <w:rPr>
          <w:rFonts w:cs="Arial"/>
          <w:b/>
          <w:color w:val="000000"/>
          <w:lang w:val="es-ES"/>
        </w:rPr>
        <w:t>Tel</w:t>
      </w:r>
      <w:r w:rsidR="0058498C" w:rsidRPr="00212400">
        <w:rPr>
          <w:rFonts w:cs="Arial"/>
          <w:b/>
          <w:color w:val="000000"/>
          <w:lang w:val="es-ES"/>
        </w:rPr>
        <w:t>éfono:</w:t>
      </w:r>
      <w:r w:rsidR="0058498C" w:rsidRPr="00212400">
        <w:rPr>
          <w:rFonts w:cs="Arial"/>
          <w:color w:val="000000"/>
          <w:lang w:val="es-ES"/>
        </w:rPr>
        <w:tab/>
      </w:r>
      <w:r w:rsidR="00D213A1" w:rsidRPr="00212400">
        <w:rPr>
          <w:rFonts w:cs="Arial"/>
          <w:color w:val="000000"/>
          <w:lang w:val="es-ES"/>
        </w:rPr>
        <w:t>787-759-7676</w:t>
      </w:r>
    </w:p>
    <w:p w:rsidR="00D213A1" w:rsidRDefault="00D213A1" w:rsidP="00D213A1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b/>
          <w:color w:val="000000"/>
          <w:lang w:val="es-PR"/>
        </w:rPr>
        <w:t>Fax:</w:t>
      </w:r>
      <w:r>
        <w:rPr>
          <w:rFonts w:cs="Arial"/>
          <w:color w:val="000000"/>
          <w:lang w:val="es-PR"/>
        </w:rPr>
        <w:t xml:space="preserve"> </w:t>
      </w:r>
      <w:r w:rsidR="00E54163"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>787-75</w:t>
      </w:r>
      <w:r w:rsidR="00DC7EEB">
        <w:rPr>
          <w:rFonts w:cs="Arial"/>
          <w:color w:val="000000"/>
          <w:lang w:val="es-PR"/>
        </w:rPr>
        <w:t>3-6160</w:t>
      </w:r>
    </w:p>
    <w:p w:rsidR="00D213A1" w:rsidRPr="00992795" w:rsidRDefault="00D213A1" w:rsidP="00D213A1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u w:val="single"/>
          <w:lang w:val="es-PR"/>
        </w:rPr>
      </w:pPr>
      <w:r>
        <w:rPr>
          <w:rFonts w:cs="Arial"/>
          <w:b/>
          <w:color w:val="000000"/>
          <w:lang w:val="es-PR"/>
        </w:rPr>
        <w:t>Correo electrónico</w:t>
      </w:r>
      <w:r w:rsidR="00E54163">
        <w:rPr>
          <w:rFonts w:cs="Arial"/>
          <w:b/>
          <w:color w:val="000000"/>
          <w:lang w:val="es-PR"/>
        </w:rPr>
        <w:t xml:space="preserve">: </w:t>
      </w:r>
      <w:r w:rsidR="007D62CB" w:rsidRPr="00992795">
        <w:rPr>
          <w:rFonts w:cs="Arial"/>
          <w:color w:val="0000FF"/>
          <w:u w:val="single"/>
          <w:lang w:val="es-PR"/>
        </w:rPr>
        <w:t>311@asg.gobierno.pr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034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590F9C" w:rsidRDefault="00D213A1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54163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54163" w:rsidRPr="00E54163" w:rsidRDefault="00E54163" w:rsidP="00A25135">
      <w:pPr>
        <w:shd w:val="clear" w:color="auto" w:fill="FFFFFF"/>
        <w:spacing w:before="120" w:after="120" w:line="240" w:lineRule="auto"/>
        <w:rPr>
          <w:rFonts w:cs="Arial"/>
          <w:b/>
          <w:color w:val="000000"/>
          <w:lang w:val="es-PR"/>
        </w:rPr>
      </w:pPr>
      <w:r w:rsidRPr="004A4045">
        <w:rPr>
          <w:rFonts w:cs="Arial"/>
          <w:b/>
          <w:color w:val="000000"/>
          <w:lang w:val="es-PR"/>
        </w:rPr>
        <w:t>Nota: Este servicio se puede radicar de manera anónima.</w:t>
      </w:r>
    </w:p>
    <w:p w:rsidR="00032D48" w:rsidRDefault="00E54163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Proveer la siguiente información:</w:t>
      </w:r>
    </w:p>
    <w:p w:rsidR="00E54163" w:rsidRDefault="00E54163" w:rsidP="00E541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Número de tablilla del vehículo </w:t>
      </w:r>
      <w:r w:rsidRPr="00E54163">
        <w:rPr>
          <w:rFonts w:cs="Arial"/>
          <w:b/>
          <w:color w:val="000000"/>
          <w:lang w:val="es-PR"/>
        </w:rPr>
        <w:t>(requisito mandatorio)</w:t>
      </w:r>
    </w:p>
    <w:p w:rsidR="006F0DFB" w:rsidRDefault="006F0DFB" w:rsidP="00E541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Marca, modelo, color</w:t>
      </w:r>
    </w:p>
    <w:p w:rsidR="00E54163" w:rsidRDefault="008A4E17" w:rsidP="00E541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Lugar específico del incidente</w:t>
      </w:r>
    </w:p>
    <w:p w:rsidR="00E54163" w:rsidRDefault="00E54163" w:rsidP="00E541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Fecha del incidente</w:t>
      </w:r>
    </w:p>
    <w:p w:rsidR="00E54163" w:rsidRDefault="00E54163" w:rsidP="00E541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Hora del incidente</w:t>
      </w:r>
    </w:p>
    <w:p w:rsidR="00E54163" w:rsidRDefault="008A4E17" w:rsidP="00E54163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Descripción del incidente</w:t>
      </w:r>
    </w:p>
    <w:p w:rsidR="00E54163" w:rsidRDefault="00EF0C28" w:rsidP="00992795">
      <w:pPr>
        <w:shd w:val="clear" w:color="auto" w:fill="FFFFFF"/>
        <w:spacing w:before="120" w:after="120" w:line="240" w:lineRule="auto"/>
        <w:ind w:left="360"/>
        <w:rPr>
          <w:rFonts w:cs="Arial"/>
          <w:lang w:val="es-PR"/>
        </w:rPr>
      </w:pPr>
      <w:r>
        <w:rPr>
          <w:rFonts w:cs="Arial"/>
          <w:color w:val="000000"/>
          <w:lang w:val="es-PR"/>
        </w:rPr>
        <w:t xml:space="preserve">El ciudadano puede incluir </w:t>
      </w:r>
      <w:r w:rsidR="008A4E17">
        <w:rPr>
          <w:rFonts w:cs="Arial"/>
          <w:color w:val="000000"/>
          <w:lang w:val="es-PR"/>
        </w:rPr>
        <w:t>fotografías o evidencia</w:t>
      </w:r>
      <w:r>
        <w:rPr>
          <w:rFonts w:cs="Arial"/>
          <w:color w:val="000000"/>
          <w:lang w:val="es-PR"/>
        </w:rPr>
        <w:t xml:space="preserve"> que demuestre la acción negligente por el mal uso del vehículo de gobierno.</w:t>
      </w:r>
      <w:r w:rsidR="00EF3D9A">
        <w:rPr>
          <w:rFonts w:cs="Arial"/>
          <w:color w:val="000000"/>
          <w:lang w:val="es-PR"/>
        </w:rPr>
        <w:t xml:space="preserve"> </w:t>
      </w:r>
      <w:r>
        <w:rPr>
          <w:rFonts w:cs="Arial"/>
          <w:color w:val="000000"/>
          <w:lang w:val="es-PR"/>
        </w:rPr>
        <w:t xml:space="preserve"> De tener evidencia para sustentar su querella puede enviar</w:t>
      </w:r>
      <w:r w:rsidR="004836F1">
        <w:rPr>
          <w:rFonts w:cs="Arial"/>
          <w:color w:val="000000"/>
          <w:lang w:val="es-PR"/>
        </w:rPr>
        <w:t>la</w:t>
      </w:r>
      <w:r>
        <w:rPr>
          <w:rFonts w:cs="Arial"/>
          <w:color w:val="000000"/>
          <w:lang w:val="es-PR"/>
        </w:rPr>
        <w:t xml:space="preserve"> al siguiente correo electrónico: </w:t>
      </w:r>
      <w:r w:rsidR="00992795" w:rsidRPr="00992795">
        <w:rPr>
          <w:rFonts w:cs="Arial"/>
          <w:color w:val="0000FF"/>
          <w:u w:val="single"/>
          <w:lang w:val="es-PR"/>
        </w:rPr>
        <w:t>311@asg.gobierno.pr</w:t>
      </w:r>
      <w:r w:rsidR="00992795" w:rsidRPr="00992795">
        <w:rPr>
          <w:rFonts w:cs="Arial"/>
          <w:lang w:val="es-PR"/>
        </w:rPr>
        <w:t>.</w:t>
      </w:r>
      <w:r w:rsidR="00F15DBE">
        <w:rPr>
          <w:rFonts w:cs="Arial"/>
          <w:color w:val="0000FF"/>
          <w:lang w:val="es-PR"/>
        </w:rPr>
        <w:t xml:space="preserve">  </w:t>
      </w:r>
      <w:r w:rsidR="00DC7EEB">
        <w:rPr>
          <w:rFonts w:cs="Arial"/>
          <w:lang w:val="es-PR"/>
        </w:rPr>
        <w:t>En el campo de asunto o “s</w:t>
      </w:r>
      <w:r w:rsidR="00F15DBE" w:rsidRPr="00F15DBE">
        <w:rPr>
          <w:rFonts w:cs="Arial"/>
          <w:lang w:val="es-PR"/>
        </w:rPr>
        <w:t>ubject”</w:t>
      </w:r>
      <w:r w:rsidR="00F15DBE">
        <w:rPr>
          <w:rFonts w:cs="Arial"/>
          <w:lang w:val="es-PR"/>
        </w:rPr>
        <w:t xml:space="preserve"> del </w:t>
      </w:r>
      <w:r w:rsidR="00F15DBE" w:rsidRPr="00F15DBE">
        <w:rPr>
          <w:rFonts w:cs="Arial"/>
          <w:lang w:val="es-PR"/>
        </w:rPr>
        <w:t>correo electrónico  d</w:t>
      </w:r>
      <w:r w:rsidRPr="00F15DBE">
        <w:rPr>
          <w:rFonts w:cs="Arial"/>
          <w:lang w:val="es-PR"/>
        </w:rPr>
        <w:t xml:space="preserve">ebe </w:t>
      </w:r>
      <w:r>
        <w:rPr>
          <w:rFonts w:cs="Arial"/>
          <w:lang w:val="es-PR"/>
        </w:rPr>
        <w:t>incluir el número de referido del Servicio</w:t>
      </w:r>
      <w:r w:rsidR="00F15DBE">
        <w:rPr>
          <w:rFonts w:cs="Arial"/>
          <w:lang w:val="es-PR"/>
        </w:rPr>
        <w:t xml:space="preserve"> 3-1-1. </w:t>
      </w:r>
    </w:p>
    <w:p w:rsidR="004A3C33" w:rsidRPr="00E54163" w:rsidRDefault="004A3C33" w:rsidP="0099279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4FD625BC" wp14:editId="657279D5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52DF3" w:rsidRPr="00222C77" w:rsidRDefault="00F52DF3" w:rsidP="00F52DF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222C77">
        <w:rPr>
          <w:rFonts w:asciiTheme="minorHAnsi" w:eastAsia="Times New Roman" w:hAnsiTheme="minorHAnsi" w:cstheme="minorHAnsi"/>
          <w:b/>
          <w:color w:val="000000"/>
          <w:lang w:val="es-PR"/>
        </w:rPr>
        <w:t>¿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>A qué se refiere por mal uso o uso</w:t>
      </w:r>
      <w:r w:rsidRPr="00222C7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indebido de un vehículo oficial?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e entenderá cualquier uso no autorizad</w:t>
      </w:r>
      <w:r>
        <w:rPr>
          <w:rFonts w:asciiTheme="minorHAnsi" w:eastAsia="Times New Roman" w:hAnsiTheme="minorHAnsi" w:cstheme="minorHAnsi"/>
          <w:color w:val="000000"/>
          <w:lang w:val="es-PR"/>
        </w:rPr>
        <w:t>o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 xml:space="preserve"> de un vehículo oficial tales como: 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c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ualquier acción u omisión que pueda resultar en un acto de negligencia.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u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so particular o familiar no autorizado, entiéndase usar el vehículo para transportar familiares o para gestiones personales.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d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esvío no justificado de la ruta designada.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uso en gestiones sociales fuera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 xml:space="preserve"> de las que son pertinentes a la gestión de</w:t>
      </w:r>
      <w:r>
        <w:rPr>
          <w:rFonts w:asciiTheme="minorHAnsi" w:eastAsia="Times New Roman" w:hAnsiTheme="minorHAnsi" w:cstheme="minorHAnsi"/>
          <w:color w:val="000000"/>
          <w:lang w:val="es-PR"/>
        </w:rPr>
        <w:t>l g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obierno.</w:t>
      </w:r>
    </w:p>
    <w:p w:rsidR="00F52DF3" w:rsidRDefault="00F52DF3" w:rsidP="00F52DF3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t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ransportación de pasajeros o viajes no autorizados en vehículos oficiales.</w:t>
      </w:r>
    </w:p>
    <w:p w:rsidR="00F52DF3" w:rsidRPr="00992795" w:rsidRDefault="00F52DF3" w:rsidP="00F52DF3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222C77">
        <w:rPr>
          <w:rFonts w:asciiTheme="minorHAnsi" w:eastAsia="Times New Roman" w:hAnsiTheme="minorHAnsi" w:cstheme="minorHAnsi"/>
          <w:b/>
          <w:color w:val="000000"/>
          <w:lang w:val="es-PR"/>
        </w:rPr>
        <w:t>¿Qué tipo de vehículo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>s</w:t>
      </w:r>
      <w:r w:rsidRPr="00222C7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se puede</w:t>
      </w:r>
      <w:r>
        <w:rPr>
          <w:rFonts w:asciiTheme="minorHAnsi" w:eastAsia="Times New Roman" w:hAnsiTheme="minorHAnsi" w:cstheme="minorHAnsi"/>
          <w:b/>
          <w:color w:val="000000"/>
          <w:lang w:val="es-PR"/>
        </w:rPr>
        <w:t>n</w:t>
      </w:r>
      <w:r w:rsidRPr="00222C7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reportar? </w:t>
      </w:r>
      <w:r w:rsidRPr="00992795">
        <w:rPr>
          <w:rFonts w:asciiTheme="minorHAnsi" w:eastAsia="Times New Roman" w:hAnsiTheme="minorHAnsi" w:cstheme="minorHAnsi"/>
          <w:color w:val="000000"/>
          <w:lang w:val="es-PR"/>
        </w:rPr>
        <w:t xml:space="preserve">Los vehículos que se pueden reportar en una querella son: 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a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viones, helicópteros y cualquier otro medio de transportación aérea</w:t>
      </w:r>
    </w:p>
    <w:p w:rsidR="00F52DF3" w:rsidRPr="00DC7EEB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c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arros, vehículos de transporte colectivo, camionetas, ambulancias, bombas de incendio, guaguas de reparto, limosinas, camiones grúas, remolcadores, arrastres, coches fúnebres</w:t>
      </w:r>
      <w:r w:rsidR="002F1D9C" w:rsidRPr="00547E2A">
        <w:rPr>
          <w:rFonts w:asciiTheme="minorHAnsi" w:eastAsia="Times New Roman" w:hAnsiTheme="minorHAnsi" w:cstheme="minorHAnsi"/>
          <w:color w:val="000000"/>
          <w:lang w:val="es-PR"/>
        </w:rPr>
        <w:t>(forense</w:t>
      </w:r>
      <w:r w:rsidR="002F1D9C">
        <w:rPr>
          <w:rFonts w:asciiTheme="minorHAnsi" w:eastAsia="Times New Roman" w:hAnsiTheme="minorHAnsi" w:cstheme="minorHAnsi"/>
          <w:color w:val="000000"/>
          <w:lang w:val="es-PR"/>
        </w:rPr>
        <w:t>)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, motoras, bicicletas, grúas excavadoras, cavadoras frontal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es y </w:t>
      </w:r>
      <w:r w:rsidRPr="00DC7EEB">
        <w:rPr>
          <w:rFonts w:asciiTheme="minorHAnsi" w:eastAsia="Times New Roman" w:hAnsiTheme="minorHAnsi" w:cstheme="minorHAnsi"/>
          <w:color w:val="000000"/>
          <w:lang w:val="es-PR"/>
        </w:rPr>
        <w:t>cu</w:t>
      </w:r>
      <w:r>
        <w:rPr>
          <w:rFonts w:asciiTheme="minorHAnsi" w:eastAsia="Times New Roman" w:hAnsiTheme="minorHAnsi" w:cstheme="minorHAnsi"/>
          <w:color w:val="000000"/>
          <w:lang w:val="es-PR"/>
        </w:rPr>
        <w:t>alquier otro medio de transportación</w:t>
      </w:r>
      <w:r w:rsidRPr="00DC7EEB">
        <w:rPr>
          <w:rFonts w:asciiTheme="minorHAnsi" w:eastAsia="Times New Roman" w:hAnsiTheme="minorHAnsi" w:cstheme="minorHAnsi"/>
          <w:color w:val="000000"/>
          <w:lang w:val="es-PR"/>
        </w:rPr>
        <w:t xml:space="preserve"> terrestre irrelevante de que requiera licencia del Departamento de Transportación  y Obras Públicas para circular por las vías públicas o de la energía que use para moverse.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b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arcos, lanchas y yates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a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nimales y bestias de transportaci</w:t>
      </w:r>
      <w:r>
        <w:rPr>
          <w:rFonts w:asciiTheme="minorHAnsi" w:eastAsia="Times New Roman" w:hAnsiTheme="minorHAnsi" w:cstheme="minorHAnsi"/>
          <w:color w:val="000000"/>
          <w:lang w:val="es-PR"/>
        </w:rPr>
        <w:t>ón o carga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 xml:space="preserve"> tales como caballos, burros, mulas y otros.</w:t>
      </w:r>
    </w:p>
    <w:p w:rsidR="00F52DF3" w:rsidRPr="00222C77" w:rsidRDefault="00F52DF3" w:rsidP="00F52DF3">
      <w:pPr>
        <w:pStyle w:val="ListParagraph"/>
        <w:numPr>
          <w:ilvl w:val="1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992795">
        <w:rPr>
          <w:rFonts w:asciiTheme="minorHAnsi" w:eastAsia="Times New Roman" w:hAnsiTheme="minorHAnsi" w:cstheme="minorHAnsi"/>
          <w:color w:val="000000"/>
          <w:lang w:val="es-PR"/>
        </w:rPr>
        <w:t>se excluye</w:t>
      </w:r>
      <w:r>
        <w:rPr>
          <w:rFonts w:asciiTheme="minorHAnsi" w:eastAsia="Times New Roman" w:hAnsiTheme="minorHAnsi" w:cstheme="minorHAnsi"/>
          <w:color w:val="000000"/>
          <w:lang w:val="es-PR"/>
        </w:rPr>
        <w:t>: m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aquinaria de construcci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ón y agrícola, equipo pesado, 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>animales tales como perros, gallos y otros.</w:t>
      </w:r>
    </w:p>
    <w:p w:rsidR="00486E02" w:rsidRDefault="0011674A" w:rsidP="00486E02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¿Qué sucede con la</w:t>
      </w:r>
      <w:r w:rsidR="00486E02" w:rsidRPr="00EF0C28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querella una vez se radica? </w:t>
      </w:r>
      <w:r w:rsidR="00486E02">
        <w:rPr>
          <w:rFonts w:asciiTheme="minorHAnsi" w:eastAsia="Times New Roman" w:hAnsiTheme="minorHAnsi" w:cstheme="minorHAnsi"/>
          <w:color w:val="000000"/>
          <w:lang w:val="es-PR"/>
        </w:rPr>
        <w:t>El caso se va a referir a la Unidad de Investigaciones de la Administración de Servicios Generales quien le dará curso a la investigación.</w:t>
      </w:r>
    </w:p>
    <w:p w:rsidR="00486E02" w:rsidRDefault="00992795" w:rsidP="00486E02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¿De qu</w:t>
      </w:r>
      <w:r w:rsidRPr="00992795">
        <w:rPr>
          <w:rFonts w:asciiTheme="minorHAnsi" w:eastAsia="Times New Roman" w:hAnsiTheme="minorHAnsi" w:cs="Arial"/>
          <w:b/>
          <w:color w:val="000000"/>
          <w:lang w:val="es-PR"/>
        </w:rPr>
        <w:t>é</w:t>
      </w:r>
      <w:r w:rsidR="0011674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manera el ciudadano se puede ver</w:t>
      </w:r>
      <w:r w:rsidR="00486E02" w:rsidRPr="00EF0C28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afectado al radicar esta querella?</w:t>
      </w:r>
      <w:r w:rsidR="00486E02">
        <w:rPr>
          <w:rFonts w:asciiTheme="minorHAnsi" w:eastAsia="Times New Roman" w:hAnsiTheme="minorHAnsi" w:cstheme="minorHAnsi"/>
          <w:color w:val="000000"/>
          <w:lang w:val="es-PR"/>
        </w:rPr>
        <w:t xml:space="preserve"> La información que el ciudadano brinda es confidencial.</w:t>
      </w:r>
    </w:p>
    <w:p w:rsidR="00EF0C28" w:rsidRPr="00222C77" w:rsidRDefault="00EF0C28" w:rsidP="00486E02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222C77">
        <w:rPr>
          <w:rFonts w:asciiTheme="minorHAnsi" w:eastAsia="Times New Roman" w:hAnsiTheme="minorHAnsi" w:cstheme="minorHAnsi"/>
          <w:b/>
          <w:color w:val="000000"/>
          <w:lang w:val="es-PR"/>
        </w:rPr>
        <w:t>¿Qué consecuencias puede tener el conductor que hace mal uso de un vehículo de gobierno?</w:t>
      </w:r>
      <w:r w:rsidRPr="00222C77">
        <w:rPr>
          <w:rFonts w:asciiTheme="minorHAnsi" w:eastAsia="Times New Roman" w:hAnsiTheme="minorHAnsi" w:cstheme="minorHAnsi"/>
          <w:color w:val="000000"/>
          <w:lang w:val="es-PR"/>
        </w:rPr>
        <w:t xml:space="preserve"> Una vez realizada la investigación y que se pruebe que hubo un acto negligente, indebido o inapropiado pudiera haber  hasta cargos administrativos para el conductor.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645F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FF311DE" wp14:editId="2B01769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3666D" w:rsidRPr="00453020" w:rsidRDefault="00453020" w:rsidP="00453020">
      <w:pPr>
        <w:spacing w:before="120" w:after="120" w:line="240" w:lineRule="auto"/>
        <w:rPr>
          <w:color w:val="0000FF"/>
          <w:u w:val="single"/>
        </w:rPr>
      </w:pPr>
      <w:r w:rsidRPr="00453020">
        <w:t>Página Web de la</w:t>
      </w:r>
      <w:r w:rsidRPr="00DC7EEB">
        <w:rPr>
          <w:color w:val="000000" w:themeColor="text1"/>
        </w:rPr>
        <w:t xml:space="preserve"> Administración de Servicios Generales</w:t>
      </w:r>
      <w:r w:rsidRPr="00DC7EEB">
        <w:rPr>
          <w:color w:val="000000" w:themeColor="text1"/>
          <w:u w:val="single"/>
        </w:rPr>
        <w:t xml:space="preserve"> </w:t>
      </w:r>
      <w:hyperlink r:id="rId21" w:history="1">
        <w:r w:rsidR="00B368EB" w:rsidRPr="000A4079">
          <w:rPr>
            <w:rStyle w:val="Hyperlink"/>
          </w:rPr>
          <w:t>www.asg.pr.gov/</w:t>
        </w:r>
      </w:hyperlink>
    </w:p>
    <w:sectPr w:rsidR="0093666D" w:rsidRPr="00453020" w:rsidSect="00D34073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BB" w:rsidRDefault="00AA60BB" w:rsidP="005501A9">
      <w:pPr>
        <w:spacing w:after="0" w:line="240" w:lineRule="auto"/>
      </w:pPr>
      <w:r>
        <w:separator/>
      </w:r>
    </w:p>
  </w:endnote>
  <w:endnote w:type="continuationSeparator" w:id="0">
    <w:p w:rsidR="00AA60BB" w:rsidRDefault="00AA60B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716405A" wp14:editId="0BAFA9D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6F23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D147613" wp14:editId="45029B3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E69A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E69AE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1C6CF5" w:rsidRDefault="001C6CF5" w:rsidP="001C6CF5">
    <w:pPr>
      <w:jc w:val="center"/>
      <w:rPr>
        <w:sz w:val="16"/>
        <w:szCs w:val="16"/>
      </w:rPr>
    </w:pPr>
    <w:r w:rsidRPr="001C6CF5">
      <w:rPr>
        <w:sz w:val="16"/>
        <w:szCs w:val="16"/>
      </w:rPr>
      <w:t>Este documento es sólo de carácter informativo.  La comunicación provista puede estar sujeta a cambios y no sustituye ninguna legislación, jurisprudencia, orden ejecutiva, reglamentos y/ 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BB" w:rsidRDefault="00AA60BB" w:rsidP="005501A9">
      <w:pPr>
        <w:spacing w:after="0" w:line="240" w:lineRule="auto"/>
      </w:pPr>
      <w:r>
        <w:separator/>
      </w:r>
    </w:p>
  </w:footnote>
  <w:footnote w:type="continuationSeparator" w:id="0">
    <w:p w:rsidR="00AA60BB" w:rsidRDefault="00AA60B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6F2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E9E955" wp14:editId="74A92576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5B23" w:rsidRDefault="00C75B2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ASG</w:t>
                          </w:r>
                          <w:r w:rsidR="00992795">
                            <w:rPr>
                              <w:sz w:val="16"/>
                              <w:szCs w:val="16"/>
                              <w:lang w:val="es-PR"/>
                            </w:rPr>
                            <w:t>-002</w:t>
                          </w:r>
                        </w:p>
                        <w:p w:rsidR="00CF03B8" w:rsidRPr="00815B23" w:rsidRDefault="00992795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B368EB">
                            <w:rPr>
                              <w:sz w:val="16"/>
                              <w:szCs w:val="16"/>
                              <w:lang w:val="es-PR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B368EB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815B23" w:rsidRDefault="00C75B2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ASG</w:t>
                    </w:r>
                    <w:r w:rsidR="00992795">
                      <w:rPr>
                        <w:sz w:val="16"/>
                        <w:szCs w:val="16"/>
                        <w:lang w:val="es-PR"/>
                      </w:rPr>
                      <w:t>-002</w:t>
                    </w:r>
                  </w:p>
                  <w:p w:rsidR="00CF03B8" w:rsidRPr="00815B23" w:rsidRDefault="00992795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B368EB">
                      <w:rPr>
                        <w:sz w:val="16"/>
                        <w:szCs w:val="16"/>
                        <w:lang w:val="es-PR"/>
                      </w:rPr>
                      <w:t>30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B368EB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B051D6">
      <w:rPr>
        <w:sz w:val="32"/>
        <w:szCs w:val="32"/>
        <w:lang w:val="es-PR"/>
      </w:rPr>
      <w:t>Administración de Servicios Generales</w:t>
    </w:r>
    <w:r w:rsidR="00C75B2E">
      <w:rPr>
        <w:sz w:val="32"/>
        <w:szCs w:val="32"/>
        <w:lang w:val="es-PR"/>
      </w:rPr>
      <w:t xml:space="preserve"> (ASG)</w:t>
    </w:r>
  </w:p>
  <w:p w:rsidR="00CF03B8" w:rsidRPr="00BC0EC0" w:rsidRDefault="00B051D6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Radicación de Querella por Mal Uso de Vehículos de Gobierno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654BE"/>
    <w:multiLevelType w:val="hybridMultilevel"/>
    <w:tmpl w:val="A3269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01B14"/>
    <w:multiLevelType w:val="hybridMultilevel"/>
    <w:tmpl w:val="13D4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66659"/>
    <w:multiLevelType w:val="hybridMultilevel"/>
    <w:tmpl w:val="3C9C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D00D8"/>
    <w:multiLevelType w:val="hybridMultilevel"/>
    <w:tmpl w:val="3C50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342D3"/>
    <w:multiLevelType w:val="hybridMultilevel"/>
    <w:tmpl w:val="B4DA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2332E"/>
    <w:multiLevelType w:val="hybridMultilevel"/>
    <w:tmpl w:val="3DFC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7C2FBC"/>
    <w:multiLevelType w:val="hybridMultilevel"/>
    <w:tmpl w:val="E08AC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35"/>
  </w:num>
  <w:num w:numId="5">
    <w:abstractNumId w:val="21"/>
  </w:num>
  <w:num w:numId="6">
    <w:abstractNumId w:val="17"/>
  </w:num>
  <w:num w:numId="7">
    <w:abstractNumId w:val="24"/>
  </w:num>
  <w:num w:numId="8">
    <w:abstractNumId w:val="15"/>
  </w:num>
  <w:num w:numId="9">
    <w:abstractNumId w:val="27"/>
  </w:num>
  <w:num w:numId="10">
    <w:abstractNumId w:val="13"/>
  </w:num>
  <w:num w:numId="11">
    <w:abstractNumId w:val="1"/>
  </w:num>
  <w:num w:numId="12">
    <w:abstractNumId w:val="34"/>
  </w:num>
  <w:num w:numId="13">
    <w:abstractNumId w:val="4"/>
  </w:num>
  <w:num w:numId="14">
    <w:abstractNumId w:val="28"/>
  </w:num>
  <w:num w:numId="15">
    <w:abstractNumId w:val="8"/>
  </w:num>
  <w:num w:numId="16">
    <w:abstractNumId w:val="23"/>
  </w:num>
  <w:num w:numId="17">
    <w:abstractNumId w:val="5"/>
  </w:num>
  <w:num w:numId="18">
    <w:abstractNumId w:val="26"/>
  </w:num>
  <w:num w:numId="19">
    <w:abstractNumId w:val="18"/>
  </w:num>
  <w:num w:numId="20">
    <w:abstractNumId w:val="25"/>
  </w:num>
  <w:num w:numId="21">
    <w:abstractNumId w:val="16"/>
  </w:num>
  <w:num w:numId="22">
    <w:abstractNumId w:val="2"/>
  </w:num>
  <w:num w:numId="23">
    <w:abstractNumId w:val="31"/>
  </w:num>
  <w:num w:numId="24">
    <w:abstractNumId w:val="32"/>
  </w:num>
  <w:num w:numId="25">
    <w:abstractNumId w:val="12"/>
  </w:num>
  <w:num w:numId="26">
    <w:abstractNumId w:val="0"/>
  </w:num>
  <w:num w:numId="27">
    <w:abstractNumId w:val="22"/>
  </w:num>
  <w:num w:numId="28">
    <w:abstractNumId w:val="20"/>
  </w:num>
  <w:num w:numId="29">
    <w:abstractNumId w:val="19"/>
  </w:num>
  <w:num w:numId="30">
    <w:abstractNumId w:val="14"/>
  </w:num>
  <w:num w:numId="31">
    <w:abstractNumId w:val="7"/>
  </w:num>
  <w:num w:numId="32">
    <w:abstractNumId w:val="3"/>
  </w:num>
  <w:num w:numId="33">
    <w:abstractNumId w:val="6"/>
  </w:num>
  <w:num w:numId="34">
    <w:abstractNumId w:val="11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D6"/>
    <w:rsid w:val="00005355"/>
    <w:rsid w:val="000103CD"/>
    <w:rsid w:val="00013502"/>
    <w:rsid w:val="00021BB5"/>
    <w:rsid w:val="00022098"/>
    <w:rsid w:val="000243DE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E614F"/>
    <w:rsid w:val="000F40B6"/>
    <w:rsid w:val="000F7989"/>
    <w:rsid w:val="00101F32"/>
    <w:rsid w:val="0011279C"/>
    <w:rsid w:val="001143FE"/>
    <w:rsid w:val="0011674A"/>
    <w:rsid w:val="00122E19"/>
    <w:rsid w:val="00126FC9"/>
    <w:rsid w:val="00133BAB"/>
    <w:rsid w:val="00134878"/>
    <w:rsid w:val="001356F1"/>
    <w:rsid w:val="00142FD6"/>
    <w:rsid w:val="00144FF8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6CF5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197F"/>
    <w:rsid w:val="00212400"/>
    <w:rsid w:val="002178F4"/>
    <w:rsid w:val="00222C77"/>
    <w:rsid w:val="002241F3"/>
    <w:rsid w:val="00224796"/>
    <w:rsid w:val="00225FE9"/>
    <w:rsid w:val="00231ED1"/>
    <w:rsid w:val="00236370"/>
    <w:rsid w:val="00237BDC"/>
    <w:rsid w:val="00245FEB"/>
    <w:rsid w:val="0024611E"/>
    <w:rsid w:val="002501E2"/>
    <w:rsid w:val="002645FF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D1E0C"/>
    <w:rsid w:val="002D3544"/>
    <w:rsid w:val="002D3658"/>
    <w:rsid w:val="002F030A"/>
    <w:rsid w:val="002F1D9C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33BD"/>
    <w:rsid w:val="003A7310"/>
    <w:rsid w:val="003A7FB9"/>
    <w:rsid w:val="003B4575"/>
    <w:rsid w:val="003C6015"/>
    <w:rsid w:val="003E0674"/>
    <w:rsid w:val="003E3CF4"/>
    <w:rsid w:val="003F0271"/>
    <w:rsid w:val="003F16CD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738A"/>
    <w:rsid w:val="00445105"/>
    <w:rsid w:val="004529FC"/>
    <w:rsid w:val="00453020"/>
    <w:rsid w:val="004548F1"/>
    <w:rsid w:val="00456683"/>
    <w:rsid w:val="004651BE"/>
    <w:rsid w:val="0047186A"/>
    <w:rsid w:val="00475E45"/>
    <w:rsid w:val="00476F59"/>
    <w:rsid w:val="004836F1"/>
    <w:rsid w:val="004842B9"/>
    <w:rsid w:val="004847E5"/>
    <w:rsid w:val="00486E02"/>
    <w:rsid w:val="0049324C"/>
    <w:rsid w:val="004979AF"/>
    <w:rsid w:val="00497B37"/>
    <w:rsid w:val="004A04AB"/>
    <w:rsid w:val="004A3C33"/>
    <w:rsid w:val="004A4045"/>
    <w:rsid w:val="004A5750"/>
    <w:rsid w:val="004A5AAE"/>
    <w:rsid w:val="004C2D1D"/>
    <w:rsid w:val="004D2A32"/>
    <w:rsid w:val="004D33BF"/>
    <w:rsid w:val="004D415A"/>
    <w:rsid w:val="004E0DAC"/>
    <w:rsid w:val="004E1240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7E2A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6F70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E69AE"/>
    <w:rsid w:val="006F0C66"/>
    <w:rsid w:val="006F0DFB"/>
    <w:rsid w:val="006F359E"/>
    <w:rsid w:val="006F485A"/>
    <w:rsid w:val="00706AE9"/>
    <w:rsid w:val="00722794"/>
    <w:rsid w:val="00726CF4"/>
    <w:rsid w:val="007271F4"/>
    <w:rsid w:val="00735FB7"/>
    <w:rsid w:val="007415A2"/>
    <w:rsid w:val="0074353C"/>
    <w:rsid w:val="0074728C"/>
    <w:rsid w:val="00753332"/>
    <w:rsid w:val="0076116F"/>
    <w:rsid w:val="00766852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62CB"/>
    <w:rsid w:val="007E1921"/>
    <w:rsid w:val="007E319D"/>
    <w:rsid w:val="007F0041"/>
    <w:rsid w:val="007F6C93"/>
    <w:rsid w:val="007F7A59"/>
    <w:rsid w:val="008000D2"/>
    <w:rsid w:val="00807397"/>
    <w:rsid w:val="00815B23"/>
    <w:rsid w:val="00817C0C"/>
    <w:rsid w:val="00824CB0"/>
    <w:rsid w:val="00826346"/>
    <w:rsid w:val="00827670"/>
    <w:rsid w:val="00832CC3"/>
    <w:rsid w:val="00841D9E"/>
    <w:rsid w:val="008542CD"/>
    <w:rsid w:val="008766CF"/>
    <w:rsid w:val="00877A45"/>
    <w:rsid w:val="00877BCE"/>
    <w:rsid w:val="008947B8"/>
    <w:rsid w:val="008A0367"/>
    <w:rsid w:val="008A4E17"/>
    <w:rsid w:val="008B7F12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92795"/>
    <w:rsid w:val="009944B2"/>
    <w:rsid w:val="009952E2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32A97"/>
    <w:rsid w:val="00A5086B"/>
    <w:rsid w:val="00A53A61"/>
    <w:rsid w:val="00A60B6E"/>
    <w:rsid w:val="00A625BF"/>
    <w:rsid w:val="00A633B9"/>
    <w:rsid w:val="00A64429"/>
    <w:rsid w:val="00A64584"/>
    <w:rsid w:val="00A64944"/>
    <w:rsid w:val="00A67769"/>
    <w:rsid w:val="00A706C9"/>
    <w:rsid w:val="00A7361C"/>
    <w:rsid w:val="00A73A7D"/>
    <w:rsid w:val="00A80DF1"/>
    <w:rsid w:val="00A85737"/>
    <w:rsid w:val="00A877BD"/>
    <w:rsid w:val="00A87E54"/>
    <w:rsid w:val="00A902C1"/>
    <w:rsid w:val="00AA60BB"/>
    <w:rsid w:val="00AB0DF3"/>
    <w:rsid w:val="00AB1AE5"/>
    <w:rsid w:val="00AB301F"/>
    <w:rsid w:val="00AB7A80"/>
    <w:rsid w:val="00AC5C02"/>
    <w:rsid w:val="00AD3D71"/>
    <w:rsid w:val="00AD43CC"/>
    <w:rsid w:val="00AF0F2D"/>
    <w:rsid w:val="00AF2EAF"/>
    <w:rsid w:val="00B03DC9"/>
    <w:rsid w:val="00B051D6"/>
    <w:rsid w:val="00B16F23"/>
    <w:rsid w:val="00B21B2D"/>
    <w:rsid w:val="00B26E30"/>
    <w:rsid w:val="00B34D73"/>
    <w:rsid w:val="00B368EB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69F3"/>
    <w:rsid w:val="00C068C0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5B2E"/>
    <w:rsid w:val="00C77541"/>
    <w:rsid w:val="00C8407C"/>
    <w:rsid w:val="00C84847"/>
    <w:rsid w:val="00CA1937"/>
    <w:rsid w:val="00CD525F"/>
    <w:rsid w:val="00CD63D6"/>
    <w:rsid w:val="00CE3B11"/>
    <w:rsid w:val="00CF0005"/>
    <w:rsid w:val="00CF03B8"/>
    <w:rsid w:val="00CF2784"/>
    <w:rsid w:val="00CF6CE6"/>
    <w:rsid w:val="00D0348B"/>
    <w:rsid w:val="00D044C8"/>
    <w:rsid w:val="00D06C9C"/>
    <w:rsid w:val="00D17B23"/>
    <w:rsid w:val="00D213A1"/>
    <w:rsid w:val="00D22047"/>
    <w:rsid w:val="00D33863"/>
    <w:rsid w:val="00D34073"/>
    <w:rsid w:val="00D42014"/>
    <w:rsid w:val="00D57B36"/>
    <w:rsid w:val="00D67291"/>
    <w:rsid w:val="00D7198C"/>
    <w:rsid w:val="00D72227"/>
    <w:rsid w:val="00D90302"/>
    <w:rsid w:val="00D9662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C7EEB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4165"/>
    <w:rsid w:val="00E366B6"/>
    <w:rsid w:val="00E36B79"/>
    <w:rsid w:val="00E53D05"/>
    <w:rsid w:val="00E54163"/>
    <w:rsid w:val="00E62823"/>
    <w:rsid w:val="00E65EC2"/>
    <w:rsid w:val="00E67805"/>
    <w:rsid w:val="00E859EC"/>
    <w:rsid w:val="00E94C68"/>
    <w:rsid w:val="00EB10E1"/>
    <w:rsid w:val="00EB6D44"/>
    <w:rsid w:val="00EB7ACD"/>
    <w:rsid w:val="00EC0600"/>
    <w:rsid w:val="00EE0ADA"/>
    <w:rsid w:val="00EE130A"/>
    <w:rsid w:val="00EE3A06"/>
    <w:rsid w:val="00EE489A"/>
    <w:rsid w:val="00EF034A"/>
    <w:rsid w:val="00EF0C28"/>
    <w:rsid w:val="00EF3D9A"/>
    <w:rsid w:val="00F028E3"/>
    <w:rsid w:val="00F05AE7"/>
    <w:rsid w:val="00F10880"/>
    <w:rsid w:val="00F15DBE"/>
    <w:rsid w:val="00F3589A"/>
    <w:rsid w:val="00F44F70"/>
    <w:rsid w:val="00F52DF3"/>
    <w:rsid w:val="00F5308E"/>
    <w:rsid w:val="00F53F36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10A6"/>
    <w:rsid w:val="00FA3D0F"/>
    <w:rsid w:val="00FA7978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asg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SG-Directorio%20de%20Agencia/ASG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12260\Documents\Coordinadora%20Interagencial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37</Agency>
    <TemplateVersion xmlns="c63a64ab-6922-4be8-848c-54544df1c2a8">Operador</TemplateVersion>
    <Category xmlns="c63a64ab-6922-4be8-848c-54544df1c2a8">2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7AE8-60F1-43CB-BE7E-BA6ABA814B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99DB2EE0-0EAF-401E-83B1-AACD25063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E306C-6E20-47B4-9F95-0B6347800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8C4E3-798F-4198-9ED9-35753A5E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12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Radicación de Querella por Mal Uso de Vehículos de Gobierno</vt:lpstr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Radicación de Querella por Mal Uso de Vehículos de Gobierno</dc:title>
  <dc:subject>Servicio</dc:subject>
  <dc:creator>3-1-1</dc:creator>
  <cp:keywords>ASG</cp:keywords>
  <cp:lastModifiedBy>respondadmin</cp:lastModifiedBy>
  <cp:revision>10</cp:revision>
  <cp:lastPrinted>2014-07-31T20:03:00Z</cp:lastPrinted>
  <dcterms:created xsi:type="dcterms:W3CDTF">2014-04-03T12:53:00Z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